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F4" w:rsidRPr="00173DE7" w:rsidRDefault="004C13F4" w:rsidP="004C13F4">
      <w:pPr>
        <w:jc w:val="center"/>
        <w:rPr>
          <w:rFonts w:ascii="PT Astra Serif" w:hAnsi="PT Astra Serif"/>
          <w:b/>
          <w:szCs w:val="28"/>
        </w:rPr>
      </w:pPr>
      <w:r w:rsidRPr="00173DE7">
        <w:rPr>
          <w:rFonts w:ascii="PT Astra Serif" w:hAnsi="PT Astra Serif"/>
          <w:b/>
          <w:szCs w:val="28"/>
        </w:rPr>
        <w:t>ПОЯСНИТЕЛЬНАЯ ЗАПИСКА</w:t>
      </w:r>
    </w:p>
    <w:p w:rsidR="004C13F4" w:rsidRPr="00173DE7" w:rsidRDefault="004C13F4" w:rsidP="004C13F4">
      <w:pPr>
        <w:jc w:val="center"/>
        <w:rPr>
          <w:rFonts w:ascii="PT Astra Serif" w:hAnsi="PT Astra Serif"/>
          <w:b/>
          <w:szCs w:val="28"/>
        </w:rPr>
      </w:pPr>
    </w:p>
    <w:p w:rsidR="004C13F4" w:rsidRPr="00173DE7" w:rsidRDefault="004C13F4" w:rsidP="004C13F4">
      <w:pPr>
        <w:jc w:val="center"/>
        <w:rPr>
          <w:rFonts w:ascii="PT Astra Serif" w:hAnsi="PT Astra Serif"/>
          <w:b/>
          <w:szCs w:val="28"/>
        </w:rPr>
      </w:pPr>
      <w:r w:rsidRPr="00173DE7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  <w:r w:rsidR="0056348D">
        <w:rPr>
          <w:rFonts w:ascii="PT Astra Serif" w:hAnsi="PT Astra Serif"/>
          <w:b/>
          <w:szCs w:val="28"/>
        </w:rPr>
        <w:br/>
      </w:r>
      <w:r w:rsidRPr="00173DE7">
        <w:rPr>
          <w:rFonts w:ascii="PT Astra Serif" w:hAnsi="PT Astra Serif"/>
          <w:b/>
          <w:szCs w:val="28"/>
        </w:rPr>
        <w:t>«О внесении изменени</w:t>
      </w:r>
      <w:r w:rsidR="00F3059B">
        <w:rPr>
          <w:rFonts w:ascii="PT Astra Serif" w:hAnsi="PT Astra Serif"/>
          <w:b/>
          <w:szCs w:val="28"/>
        </w:rPr>
        <w:t>й</w:t>
      </w:r>
      <w:r w:rsidRPr="00173DE7">
        <w:rPr>
          <w:rFonts w:ascii="PT Astra Serif" w:hAnsi="PT Astra Serif"/>
          <w:b/>
          <w:szCs w:val="28"/>
        </w:rPr>
        <w:t xml:space="preserve"> в </w:t>
      </w:r>
      <w:r w:rsidR="00595FE1">
        <w:rPr>
          <w:rFonts w:ascii="PT Astra Serif" w:hAnsi="PT Astra Serif"/>
          <w:b/>
          <w:szCs w:val="28"/>
        </w:rPr>
        <w:t xml:space="preserve">статью 20 </w:t>
      </w:r>
      <w:r w:rsidRPr="00173DE7">
        <w:rPr>
          <w:rFonts w:ascii="PT Astra Serif" w:hAnsi="PT Astra Serif"/>
          <w:b/>
          <w:szCs w:val="28"/>
        </w:rPr>
        <w:t>Закон</w:t>
      </w:r>
      <w:r w:rsidR="00595FE1">
        <w:rPr>
          <w:rFonts w:ascii="PT Astra Serif" w:hAnsi="PT Astra Serif"/>
          <w:b/>
          <w:szCs w:val="28"/>
        </w:rPr>
        <w:t>а</w:t>
      </w:r>
      <w:r w:rsidRPr="00173DE7">
        <w:rPr>
          <w:rFonts w:ascii="PT Astra Serif" w:hAnsi="PT Astra Serif"/>
          <w:b/>
          <w:szCs w:val="28"/>
        </w:rPr>
        <w:t xml:space="preserve"> Ульяновской области</w:t>
      </w:r>
      <w:r w:rsidR="0056348D">
        <w:rPr>
          <w:rFonts w:ascii="PT Astra Serif" w:hAnsi="PT Astra Serif"/>
          <w:b/>
          <w:szCs w:val="28"/>
        </w:rPr>
        <w:br/>
      </w:r>
      <w:r w:rsidRPr="00173DE7">
        <w:rPr>
          <w:rFonts w:ascii="PT Astra Serif" w:hAnsi="PT Astra Serif"/>
          <w:b/>
          <w:szCs w:val="28"/>
        </w:rPr>
        <w:t xml:space="preserve">«О межбюджетных отношениях в Ульяновской области» </w:t>
      </w:r>
    </w:p>
    <w:p w:rsidR="004C13F4" w:rsidRPr="00173DE7" w:rsidRDefault="004C13F4" w:rsidP="004C13F4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:rsidR="00595FE1" w:rsidRDefault="004C13F4" w:rsidP="00332930">
      <w:pPr>
        <w:spacing w:line="312" w:lineRule="auto"/>
        <w:ind w:firstLine="709"/>
        <w:jc w:val="both"/>
        <w:rPr>
          <w:rFonts w:ascii="PT Astra Serif" w:hAnsi="PT Astra Serif"/>
          <w:bCs/>
          <w:szCs w:val="28"/>
        </w:rPr>
      </w:pPr>
      <w:proofErr w:type="gramStart"/>
      <w:r w:rsidRPr="00C44C55">
        <w:rPr>
          <w:rFonts w:ascii="PT Astra Serif" w:hAnsi="PT Astra Serif"/>
          <w:szCs w:val="28"/>
        </w:rPr>
        <w:t>Проект Закона Ульяновской области «О внесении изменени</w:t>
      </w:r>
      <w:r w:rsidR="00F3059B">
        <w:rPr>
          <w:rFonts w:ascii="PT Astra Serif" w:hAnsi="PT Astra Serif"/>
          <w:szCs w:val="28"/>
        </w:rPr>
        <w:t>й</w:t>
      </w:r>
      <w:r w:rsidR="00595FE1">
        <w:rPr>
          <w:rFonts w:ascii="PT Astra Serif" w:hAnsi="PT Astra Serif"/>
          <w:szCs w:val="28"/>
        </w:rPr>
        <w:t xml:space="preserve"> в статью 20</w:t>
      </w:r>
      <w:r w:rsidRPr="00C44C55">
        <w:rPr>
          <w:rFonts w:ascii="PT Astra Serif" w:hAnsi="PT Astra Serif"/>
          <w:szCs w:val="28"/>
        </w:rPr>
        <w:t xml:space="preserve">  Закон</w:t>
      </w:r>
      <w:r w:rsidR="00595FE1">
        <w:rPr>
          <w:rFonts w:ascii="PT Astra Serif" w:hAnsi="PT Astra Serif"/>
          <w:szCs w:val="28"/>
        </w:rPr>
        <w:t>а</w:t>
      </w:r>
      <w:r w:rsidRPr="00C44C55">
        <w:rPr>
          <w:rFonts w:ascii="PT Astra Serif" w:hAnsi="PT Astra Serif"/>
          <w:szCs w:val="28"/>
        </w:rPr>
        <w:t xml:space="preserve"> Ульяновской области «О межбюджетных отношениях в Ульяновской области» (далее – законопроект) подготовлен</w:t>
      </w:r>
      <w:r w:rsidR="00665D89">
        <w:rPr>
          <w:rFonts w:ascii="PT Astra Serif" w:hAnsi="PT Astra Serif"/>
          <w:szCs w:val="28"/>
        </w:rPr>
        <w:t xml:space="preserve"> в</w:t>
      </w:r>
      <w:r w:rsidR="0054781E">
        <w:rPr>
          <w:rFonts w:ascii="PT Astra Serif" w:hAnsi="PT Astra Serif"/>
          <w:szCs w:val="28"/>
        </w:rPr>
        <w:t xml:space="preserve"> </w:t>
      </w:r>
      <w:r w:rsidR="00595FE1">
        <w:rPr>
          <w:rFonts w:ascii="PT Astra Serif" w:hAnsi="PT Astra Serif"/>
          <w:szCs w:val="28"/>
        </w:rPr>
        <w:t xml:space="preserve">соответствии с </w:t>
      </w:r>
      <w:r w:rsidR="00595FE1">
        <w:rPr>
          <w:rFonts w:ascii="PT Astra Serif" w:hAnsi="PT Astra Serif"/>
          <w:bCs/>
          <w:szCs w:val="28"/>
        </w:rPr>
        <w:t>пунктом 4 части первой статьи 139</w:t>
      </w:r>
      <w:r w:rsidR="00595FE1">
        <w:rPr>
          <w:rFonts w:ascii="PT Astra Serif" w:hAnsi="PT Astra Serif"/>
          <w:bCs/>
          <w:szCs w:val="28"/>
          <w:vertAlign w:val="superscript"/>
        </w:rPr>
        <w:t>1</w:t>
      </w:r>
      <w:r w:rsidR="00595FE1">
        <w:rPr>
          <w:rFonts w:ascii="PT Astra Serif" w:hAnsi="PT Astra Serif"/>
          <w:bCs/>
          <w:szCs w:val="28"/>
        </w:rPr>
        <w:t xml:space="preserve">  Бюджетного кодекса Российской Федерации и устанавливает правовые основы предоставления иных межбюджетных трансфертов из областного бюджета Ульяновской области бюджетам муниципальных образований Ульяновской области в случае </w:t>
      </w:r>
      <w:proofErr w:type="spellStart"/>
      <w:r w:rsidR="007D15D8">
        <w:rPr>
          <w:rFonts w:ascii="PT Astra Serif" w:hAnsi="PT Astra Serif"/>
          <w:bCs/>
          <w:szCs w:val="28"/>
        </w:rPr>
        <w:t>софинансирования</w:t>
      </w:r>
      <w:proofErr w:type="spellEnd"/>
      <w:r w:rsidR="007D15D8">
        <w:rPr>
          <w:rFonts w:ascii="PT Astra Serif" w:hAnsi="PT Astra Serif"/>
          <w:bCs/>
          <w:szCs w:val="28"/>
        </w:rPr>
        <w:t>, в том числе в</w:t>
      </w:r>
      <w:proofErr w:type="gramEnd"/>
      <w:r w:rsidR="007D15D8">
        <w:rPr>
          <w:rFonts w:ascii="PT Astra Serif" w:hAnsi="PT Astra Serif"/>
          <w:bCs/>
          <w:szCs w:val="28"/>
        </w:rPr>
        <w:t xml:space="preserve"> </w:t>
      </w:r>
      <w:proofErr w:type="gramStart"/>
      <w:r w:rsidR="007D15D8">
        <w:rPr>
          <w:rFonts w:ascii="PT Astra Serif" w:hAnsi="PT Astra Serif"/>
          <w:bCs/>
          <w:szCs w:val="28"/>
        </w:rPr>
        <w:t>полном объёме, расходных обязательств, возникающих в</w:t>
      </w:r>
      <w:r w:rsidR="00595FE1">
        <w:rPr>
          <w:rFonts w:ascii="PT Astra Serif" w:hAnsi="PT Astra Serif"/>
          <w:bCs/>
          <w:szCs w:val="28"/>
        </w:rPr>
        <w:t xml:space="preserve"> связ</w:t>
      </w:r>
      <w:r w:rsidR="007D15D8">
        <w:rPr>
          <w:rFonts w:ascii="PT Astra Serif" w:hAnsi="PT Astra Serif"/>
          <w:bCs/>
          <w:szCs w:val="28"/>
        </w:rPr>
        <w:t>и</w:t>
      </w:r>
      <w:r w:rsidR="00595FE1">
        <w:rPr>
          <w:rFonts w:ascii="PT Astra Serif" w:hAnsi="PT Astra Serif"/>
          <w:bCs/>
          <w:szCs w:val="28"/>
        </w:rPr>
        <w:t xml:space="preserve"> с погашением кредиторской задолженности муниципальных учреждений </w:t>
      </w:r>
      <w:r w:rsidR="007D15D8">
        <w:rPr>
          <w:rFonts w:ascii="PT Astra Serif" w:hAnsi="PT Astra Serif"/>
          <w:bCs/>
          <w:szCs w:val="28"/>
        </w:rPr>
        <w:t xml:space="preserve">муниципальных образований </w:t>
      </w:r>
      <w:r w:rsidR="00595FE1">
        <w:rPr>
          <w:rFonts w:ascii="PT Astra Serif" w:hAnsi="PT Astra Serif"/>
          <w:bCs/>
          <w:szCs w:val="28"/>
        </w:rPr>
        <w:t xml:space="preserve">по уплате </w:t>
      </w:r>
      <w:r w:rsidR="007D15D8">
        <w:rPr>
          <w:rFonts w:ascii="PT Astra Serif" w:hAnsi="PT Astra Serif"/>
          <w:bCs/>
          <w:szCs w:val="28"/>
        </w:rPr>
        <w:t xml:space="preserve">налогов и </w:t>
      </w:r>
      <w:r w:rsidR="00595FE1">
        <w:rPr>
          <w:rFonts w:ascii="PT Astra Serif" w:hAnsi="PT Astra Serif"/>
          <w:bCs/>
          <w:szCs w:val="28"/>
        </w:rPr>
        <w:t xml:space="preserve">страховых взносов </w:t>
      </w:r>
      <w:r w:rsidR="007D15D8">
        <w:rPr>
          <w:rFonts w:ascii="PT Astra Serif" w:hAnsi="PT Astra Serif"/>
          <w:bCs/>
          <w:szCs w:val="28"/>
        </w:rPr>
        <w:t>на обязательное социальное страхование</w:t>
      </w:r>
      <w:r w:rsidR="00F86E5E">
        <w:rPr>
          <w:rFonts w:ascii="PT Astra Serif" w:hAnsi="PT Astra Serif"/>
          <w:bCs/>
          <w:szCs w:val="28"/>
        </w:rPr>
        <w:t xml:space="preserve"> (далее – кредиторская задолженность</w:t>
      </w:r>
      <w:r w:rsidR="007D15D8">
        <w:rPr>
          <w:rFonts w:ascii="PT Astra Serif" w:hAnsi="PT Astra Serif"/>
          <w:bCs/>
          <w:szCs w:val="28"/>
        </w:rPr>
        <w:t xml:space="preserve"> по уплате налогов и страховых взносов</w:t>
      </w:r>
      <w:r w:rsidR="00F86E5E">
        <w:rPr>
          <w:rFonts w:ascii="PT Astra Serif" w:hAnsi="PT Astra Serif"/>
          <w:bCs/>
          <w:szCs w:val="28"/>
        </w:rPr>
        <w:t>)</w:t>
      </w:r>
      <w:r w:rsidR="00595FE1">
        <w:rPr>
          <w:rFonts w:ascii="PT Astra Serif" w:hAnsi="PT Astra Serif"/>
          <w:bCs/>
          <w:szCs w:val="28"/>
        </w:rPr>
        <w:t>.</w:t>
      </w:r>
      <w:proofErr w:type="gramEnd"/>
    </w:p>
    <w:p w:rsidR="00595FE1" w:rsidRDefault="00595FE1" w:rsidP="00332930">
      <w:pPr>
        <w:pStyle w:val="ConsPlusTitle"/>
        <w:spacing w:line="312" w:lineRule="auto"/>
        <w:ind w:firstLine="567"/>
        <w:jc w:val="both"/>
        <w:rPr>
          <w:rFonts w:ascii="PT Astra Serif" w:hAnsi="PT Astra Serif" w:cs="Calibri"/>
          <w:b w:val="0"/>
          <w:sz w:val="28"/>
          <w:szCs w:val="28"/>
        </w:rPr>
      </w:pPr>
      <w:r>
        <w:rPr>
          <w:rFonts w:ascii="PT Astra Serif" w:hAnsi="PT Astra Serif" w:cs="Calibri"/>
          <w:b w:val="0"/>
          <w:sz w:val="28"/>
          <w:szCs w:val="28"/>
        </w:rPr>
        <w:t xml:space="preserve">По состоянию на 01.01.2023 года по данным бухгалтерской отчётности общий объём кредиторской задолженности муниципальных учреждений Ульяновской области составил 3 595,9 </w:t>
      </w:r>
      <w:proofErr w:type="spellStart"/>
      <w:proofErr w:type="gramStart"/>
      <w:r>
        <w:rPr>
          <w:rFonts w:ascii="PT Astra Serif" w:hAnsi="PT Astra Serif" w:cs="Calibri"/>
          <w:b w:val="0"/>
          <w:sz w:val="28"/>
          <w:szCs w:val="28"/>
        </w:rPr>
        <w:t>млн</w:t>
      </w:r>
      <w:proofErr w:type="spellEnd"/>
      <w:proofErr w:type="gramEnd"/>
      <w:r>
        <w:rPr>
          <w:rFonts w:ascii="PT Astra Serif" w:hAnsi="PT Astra Serif" w:cs="Calibri"/>
          <w:b w:val="0"/>
          <w:sz w:val="28"/>
          <w:szCs w:val="28"/>
        </w:rPr>
        <w:t xml:space="preserve"> рублей. Рост к аналогичному периоду 2022 года составил 848,2 </w:t>
      </w:r>
      <w:proofErr w:type="spellStart"/>
      <w:proofErr w:type="gramStart"/>
      <w:r>
        <w:rPr>
          <w:rFonts w:ascii="PT Astra Serif" w:hAnsi="PT Astra Serif" w:cs="Calibri"/>
          <w:b w:val="0"/>
          <w:sz w:val="28"/>
          <w:szCs w:val="28"/>
        </w:rPr>
        <w:t>млн</w:t>
      </w:r>
      <w:proofErr w:type="spellEnd"/>
      <w:proofErr w:type="gramEnd"/>
      <w:r>
        <w:rPr>
          <w:rFonts w:ascii="PT Astra Serif" w:hAnsi="PT Astra Serif" w:cs="Calibri"/>
          <w:b w:val="0"/>
          <w:sz w:val="28"/>
          <w:szCs w:val="28"/>
        </w:rPr>
        <w:t xml:space="preserve"> рублей или более 30%. </w:t>
      </w:r>
    </w:p>
    <w:p w:rsidR="00595FE1" w:rsidRDefault="00595FE1" w:rsidP="00332930">
      <w:pPr>
        <w:pStyle w:val="ConsPlusTitle"/>
        <w:spacing w:line="312" w:lineRule="auto"/>
        <w:ind w:firstLine="567"/>
        <w:jc w:val="both"/>
        <w:rPr>
          <w:rFonts w:ascii="PT Astra Serif" w:hAnsi="PT Astra Serif" w:cs="Calibri"/>
          <w:b w:val="0"/>
          <w:sz w:val="28"/>
          <w:szCs w:val="28"/>
        </w:rPr>
      </w:pPr>
      <w:r>
        <w:rPr>
          <w:rFonts w:ascii="PT Astra Serif" w:hAnsi="PT Astra Serif" w:cs="Calibri"/>
          <w:b w:val="0"/>
          <w:sz w:val="28"/>
          <w:szCs w:val="28"/>
        </w:rPr>
        <w:t xml:space="preserve">Из общей суммы кредиторской задолженности 1553,1 </w:t>
      </w:r>
      <w:proofErr w:type="spellStart"/>
      <w:proofErr w:type="gramStart"/>
      <w:r>
        <w:rPr>
          <w:rFonts w:ascii="PT Astra Serif" w:hAnsi="PT Astra Serif" w:cs="Calibri"/>
          <w:b w:val="0"/>
          <w:sz w:val="28"/>
          <w:szCs w:val="28"/>
        </w:rPr>
        <w:t>млн</w:t>
      </w:r>
      <w:proofErr w:type="spellEnd"/>
      <w:proofErr w:type="gramEnd"/>
      <w:r>
        <w:rPr>
          <w:rFonts w:ascii="PT Astra Serif" w:hAnsi="PT Astra Serif" w:cs="Calibri"/>
          <w:b w:val="0"/>
          <w:sz w:val="28"/>
          <w:szCs w:val="28"/>
        </w:rPr>
        <w:t xml:space="preserve"> рублей или 43% составляет задолженность по уплате страховых взносов в государственные внебюджетные фонды.</w:t>
      </w:r>
    </w:p>
    <w:p w:rsidR="00595FE1" w:rsidRDefault="00595FE1" w:rsidP="00332930">
      <w:pPr>
        <w:pStyle w:val="ConsPlusTitle"/>
        <w:spacing w:line="312" w:lineRule="auto"/>
        <w:ind w:firstLine="567"/>
        <w:jc w:val="both"/>
        <w:rPr>
          <w:rFonts w:ascii="PT Astra Serif" w:hAnsi="PT Astra Serif" w:cs="Calibri"/>
          <w:b w:val="0"/>
          <w:sz w:val="28"/>
          <w:szCs w:val="28"/>
        </w:rPr>
      </w:pPr>
      <w:r>
        <w:rPr>
          <w:rFonts w:ascii="PT Astra Serif" w:hAnsi="PT Astra Serif" w:cs="Calibri"/>
          <w:b w:val="0"/>
          <w:sz w:val="28"/>
          <w:szCs w:val="28"/>
        </w:rPr>
        <w:t xml:space="preserve">Отрицательная динамика по кредиторской задолженности муниципальных учреждений сохраняется на протяжении нескольких лет. Так по состоянию на 01.01.2020 объём кредиторской задолженности по страховым взносам составлял 978,7 </w:t>
      </w:r>
      <w:proofErr w:type="spellStart"/>
      <w:proofErr w:type="gramStart"/>
      <w:r>
        <w:rPr>
          <w:rFonts w:ascii="PT Astra Serif" w:hAnsi="PT Astra Serif" w:cs="Calibri"/>
          <w:b w:val="0"/>
          <w:sz w:val="28"/>
          <w:szCs w:val="28"/>
        </w:rPr>
        <w:t>млн</w:t>
      </w:r>
      <w:proofErr w:type="spellEnd"/>
      <w:proofErr w:type="gramEnd"/>
      <w:r>
        <w:rPr>
          <w:rFonts w:ascii="PT Astra Serif" w:hAnsi="PT Astra Serif" w:cs="Calibri"/>
          <w:b w:val="0"/>
          <w:sz w:val="28"/>
          <w:szCs w:val="28"/>
        </w:rPr>
        <w:t xml:space="preserve"> рублей, по состоянию на 01.01.2021 – 1046,6 </w:t>
      </w:r>
      <w:proofErr w:type="spellStart"/>
      <w:r>
        <w:rPr>
          <w:rFonts w:ascii="PT Astra Serif" w:hAnsi="PT Astra Serif" w:cs="Calibri"/>
          <w:b w:val="0"/>
          <w:sz w:val="28"/>
          <w:szCs w:val="28"/>
        </w:rPr>
        <w:t>млн</w:t>
      </w:r>
      <w:proofErr w:type="spellEnd"/>
      <w:r>
        <w:rPr>
          <w:rFonts w:ascii="PT Astra Serif" w:hAnsi="PT Astra Serif" w:cs="Calibri"/>
          <w:b w:val="0"/>
          <w:sz w:val="28"/>
          <w:szCs w:val="28"/>
        </w:rPr>
        <w:t xml:space="preserve"> рублей, по состоянию на 01.01.2022 – 1201,1 </w:t>
      </w:r>
      <w:proofErr w:type="spellStart"/>
      <w:r>
        <w:rPr>
          <w:rFonts w:ascii="PT Astra Serif" w:hAnsi="PT Astra Serif" w:cs="Calibri"/>
          <w:b w:val="0"/>
          <w:sz w:val="28"/>
          <w:szCs w:val="28"/>
        </w:rPr>
        <w:t>млн</w:t>
      </w:r>
      <w:proofErr w:type="spellEnd"/>
      <w:r>
        <w:rPr>
          <w:rFonts w:ascii="PT Astra Serif" w:hAnsi="PT Astra Serif" w:cs="Calibri"/>
          <w:b w:val="0"/>
          <w:sz w:val="28"/>
          <w:szCs w:val="28"/>
        </w:rPr>
        <w:t xml:space="preserve"> рублей.</w:t>
      </w:r>
    </w:p>
    <w:p w:rsidR="00595FE1" w:rsidRDefault="00595FE1" w:rsidP="00332930">
      <w:pPr>
        <w:pStyle w:val="ConsPlusTitle"/>
        <w:spacing w:line="312" w:lineRule="auto"/>
        <w:ind w:firstLine="567"/>
        <w:jc w:val="both"/>
        <w:rPr>
          <w:rFonts w:ascii="PT Astra Serif" w:hAnsi="PT Astra Serif" w:cs="Calibri"/>
          <w:b w:val="0"/>
          <w:sz w:val="28"/>
          <w:szCs w:val="28"/>
        </w:rPr>
      </w:pPr>
      <w:r>
        <w:rPr>
          <w:rFonts w:ascii="PT Astra Serif" w:hAnsi="PT Astra Serif" w:cs="Calibri"/>
          <w:b w:val="0"/>
          <w:sz w:val="28"/>
          <w:szCs w:val="28"/>
        </w:rPr>
        <w:t xml:space="preserve">Принимаемые муниципальными образованиями меры, направленные на сокращение кредиторской задолженности муниципальных учреждений, в том числе по уплате страховых взносов (направление на указанные цели дополнительных доходов, поступающих в местные бюджеты в процессе их исполнения, использование на эти цели </w:t>
      </w:r>
      <w:proofErr w:type="gramStart"/>
      <w:r>
        <w:rPr>
          <w:rFonts w:ascii="PT Astra Serif" w:hAnsi="PT Astra Serif" w:cs="Calibri"/>
          <w:b w:val="0"/>
          <w:sz w:val="28"/>
          <w:szCs w:val="28"/>
        </w:rPr>
        <w:t>остатков</w:t>
      </w:r>
      <w:proofErr w:type="gramEnd"/>
      <w:r>
        <w:rPr>
          <w:rFonts w:ascii="PT Astra Serif" w:hAnsi="PT Astra Serif" w:cs="Calibri"/>
          <w:b w:val="0"/>
          <w:sz w:val="28"/>
          <w:szCs w:val="28"/>
        </w:rPr>
        <w:t xml:space="preserve"> не распределённых на начало текущего финансового года), а так же выделяемая из областного бюджета дополнительная финансовая помощь, не имеющая целевого назначения, не позволили муниципальным образованиям погасить кредиторскую задолженность.</w:t>
      </w:r>
      <w:r w:rsidR="00332930">
        <w:rPr>
          <w:rFonts w:ascii="PT Astra Serif" w:hAnsi="PT Astra Serif" w:cs="Calibri"/>
          <w:b w:val="0"/>
          <w:sz w:val="28"/>
          <w:szCs w:val="28"/>
        </w:rPr>
        <w:t xml:space="preserve"> </w:t>
      </w:r>
      <w:r>
        <w:rPr>
          <w:rFonts w:ascii="PT Astra Serif" w:hAnsi="PT Astra Serif" w:cs="Calibri"/>
          <w:b w:val="0"/>
          <w:sz w:val="28"/>
          <w:szCs w:val="28"/>
        </w:rPr>
        <w:lastRenderedPageBreak/>
        <w:t>Ситуация усугубляется начислением пеней и штрафов, которые ложатся дополнительным бременем на местные бюджеты.</w:t>
      </w:r>
    </w:p>
    <w:p w:rsidR="00360E1D" w:rsidRPr="00332930" w:rsidRDefault="00595FE1" w:rsidP="00332930">
      <w:pPr>
        <w:pStyle w:val="ConsPlusTitle"/>
        <w:spacing w:line="312" w:lineRule="auto"/>
        <w:ind w:firstLine="567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>
        <w:rPr>
          <w:rFonts w:ascii="PT Astra Serif" w:hAnsi="PT Astra Serif" w:cs="Calibri"/>
          <w:b w:val="0"/>
          <w:sz w:val="28"/>
          <w:szCs w:val="28"/>
        </w:rPr>
        <w:t xml:space="preserve">Кроме того, в соответствии с постановлениями Правительства Ульяновской области </w:t>
      </w:r>
      <w:r w:rsidRPr="008F4773">
        <w:rPr>
          <w:rFonts w:ascii="PT Astra Serif" w:hAnsi="PT Astra Serif"/>
          <w:b w:val="0"/>
          <w:sz w:val="28"/>
          <w:szCs w:val="28"/>
        </w:rPr>
        <w:t>от 27.05.2020 № 268-П</w:t>
      </w:r>
      <w:r w:rsidRPr="008F4773">
        <w:rPr>
          <w:rFonts w:ascii="PT Astra Serif" w:hAnsi="PT Astra Serif" w:cs="Calibri"/>
          <w:b w:val="0"/>
          <w:sz w:val="28"/>
          <w:szCs w:val="28"/>
        </w:rPr>
        <w:t xml:space="preserve"> </w:t>
      </w:r>
      <w:r w:rsidRPr="008F4773">
        <w:rPr>
          <w:rFonts w:ascii="Times New Roman" w:hAnsi="Times New Roman"/>
          <w:b w:val="0"/>
          <w:sz w:val="28"/>
          <w:szCs w:val="28"/>
        </w:rPr>
        <w:t>«Об утверждении Правил заключения соглашения о мерах по восстановлению платёжеспособности муниципального образования Ульяновской области, перечня обязательств муниципального образования Ульяновской области, подлежащих включению в указанное соглашение, и формы указанного соглашения»</w:t>
      </w:r>
      <w:r w:rsidR="00F86E5E">
        <w:rPr>
          <w:rFonts w:ascii="Times New Roman" w:hAnsi="Times New Roman"/>
          <w:b w:val="0"/>
          <w:sz w:val="28"/>
          <w:szCs w:val="28"/>
        </w:rPr>
        <w:t xml:space="preserve"> </w:t>
      </w:r>
      <w:r w:rsidRPr="008F4773">
        <w:rPr>
          <w:rFonts w:ascii="PT Astra Serif" w:hAnsi="PT Astra Serif" w:cs="Calibri"/>
          <w:b w:val="0"/>
          <w:sz w:val="28"/>
          <w:szCs w:val="28"/>
        </w:rPr>
        <w:t xml:space="preserve">и от </w:t>
      </w:r>
      <w:r w:rsidRPr="008F4773">
        <w:rPr>
          <w:rFonts w:ascii="PT Astra Serif" w:hAnsi="PT Astra Serif"/>
          <w:b w:val="0"/>
          <w:sz w:val="28"/>
          <w:szCs w:val="28"/>
        </w:rPr>
        <w:t>06.05.2020</w:t>
      </w:r>
      <w:r w:rsidR="00665D89">
        <w:rPr>
          <w:rFonts w:ascii="PT Astra Serif" w:hAnsi="PT Astra Serif"/>
          <w:b w:val="0"/>
          <w:sz w:val="28"/>
          <w:szCs w:val="28"/>
        </w:rPr>
        <w:t xml:space="preserve"> </w:t>
      </w:r>
      <w:r w:rsidRPr="008F4773">
        <w:rPr>
          <w:rFonts w:ascii="PT Astra Serif" w:hAnsi="PT Astra Serif"/>
          <w:b w:val="0"/>
          <w:sz w:val="28"/>
          <w:szCs w:val="28"/>
        </w:rPr>
        <w:t>№ 225-П «Об утверждении правил заключения соглашений, предусматривающих меры по социально-экономическому развитию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8F4773">
        <w:rPr>
          <w:rFonts w:ascii="PT Astra Serif" w:hAnsi="PT Astra Serif"/>
          <w:b w:val="0"/>
          <w:sz w:val="28"/>
          <w:szCs w:val="28"/>
        </w:rPr>
        <w:t>и оздоровлению муниципальных финансов муниципальных</w:t>
      </w:r>
      <w:proofErr w:type="gramEnd"/>
      <w:r w:rsidRPr="008F4773">
        <w:rPr>
          <w:rFonts w:ascii="PT Astra Serif" w:hAnsi="PT Astra Serif"/>
          <w:b w:val="0"/>
          <w:sz w:val="28"/>
          <w:szCs w:val="28"/>
        </w:rPr>
        <w:t xml:space="preserve"> районов (городских округов), городских, сельских поселений Ульяновской области, и перечня обязательств, подлежащих включению в такие соглашения</w:t>
      </w:r>
      <w:r w:rsidRPr="00391EC8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 w:cs="Calibri"/>
          <w:b w:val="0"/>
          <w:sz w:val="28"/>
          <w:szCs w:val="28"/>
        </w:rPr>
        <w:t>наличие кредиторской задолженности приводит к обязательству заключения соглашений между местной администрацией и территориальным органом У</w:t>
      </w:r>
      <w:r w:rsidR="00332930">
        <w:rPr>
          <w:rFonts w:ascii="PT Astra Serif" w:hAnsi="PT Astra Serif" w:cs="Calibri"/>
          <w:b w:val="0"/>
          <w:sz w:val="28"/>
          <w:szCs w:val="28"/>
        </w:rPr>
        <w:t xml:space="preserve">правления </w:t>
      </w:r>
      <w:r>
        <w:rPr>
          <w:rFonts w:ascii="PT Astra Serif" w:hAnsi="PT Astra Serif" w:cs="Calibri"/>
          <w:b w:val="0"/>
          <w:sz w:val="28"/>
          <w:szCs w:val="28"/>
        </w:rPr>
        <w:t>Ф</w:t>
      </w:r>
      <w:r w:rsidR="00332930">
        <w:rPr>
          <w:rFonts w:ascii="PT Astra Serif" w:hAnsi="PT Astra Serif" w:cs="Calibri"/>
          <w:b w:val="0"/>
          <w:sz w:val="28"/>
          <w:szCs w:val="28"/>
        </w:rPr>
        <w:t>едерального казначейства</w:t>
      </w:r>
      <w:r>
        <w:rPr>
          <w:rFonts w:ascii="PT Astra Serif" w:hAnsi="PT Astra Serif" w:cs="Calibri"/>
          <w:b w:val="0"/>
          <w:sz w:val="28"/>
          <w:szCs w:val="28"/>
        </w:rPr>
        <w:t xml:space="preserve"> о применении режима первоочередных расходов, что фактически парализует деятельность муниципалитетов</w:t>
      </w:r>
      <w:r w:rsidRPr="00332930">
        <w:rPr>
          <w:rFonts w:ascii="PT Astra Serif" w:hAnsi="PT Astra Serif" w:cs="Calibri"/>
          <w:b w:val="0"/>
          <w:sz w:val="28"/>
          <w:szCs w:val="28"/>
        </w:rPr>
        <w:t>.</w:t>
      </w:r>
      <w:r w:rsidR="00332930" w:rsidRPr="00332930">
        <w:rPr>
          <w:rFonts w:ascii="PT Astra Serif" w:hAnsi="PT Astra Serif" w:cs="Calibri"/>
          <w:b w:val="0"/>
          <w:sz w:val="28"/>
          <w:szCs w:val="28"/>
        </w:rPr>
        <w:t xml:space="preserve"> </w:t>
      </w:r>
      <w:r w:rsidR="0054781E" w:rsidRPr="00332930">
        <w:rPr>
          <w:rFonts w:ascii="PT Astra Serif" w:hAnsi="PT Astra Serif"/>
          <w:b w:val="0"/>
          <w:sz w:val="28"/>
          <w:szCs w:val="28"/>
        </w:rPr>
        <w:t xml:space="preserve"> </w:t>
      </w:r>
      <w:r w:rsidR="003B7A69">
        <w:rPr>
          <w:rFonts w:ascii="PT Astra Serif" w:hAnsi="PT Astra Serif"/>
          <w:b w:val="0"/>
          <w:sz w:val="28"/>
          <w:szCs w:val="28"/>
        </w:rPr>
        <w:t>Одним из возможных способов</w:t>
      </w:r>
      <w:r w:rsidR="00F86E5E" w:rsidRPr="00332930">
        <w:rPr>
          <w:rFonts w:ascii="PT Astra Serif" w:hAnsi="PT Astra Serif"/>
          <w:b w:val="0"/>
          <w:sz w:val="28"/>
          <w:szCs w:val="28"/>
        </w:rPr>
        <w:t xml:space="preserve"> решения указанной проблемы </w:t>
      </w:r>
      <w:r w:rsidR="003B7A69">
        <w:rPr>
          <w:rFonts w:ascii="PT Astra Serif" w:hAnsi="PT Astra Serif"/>
          <w:b w:val="0"/>
          <w:sz w:val="28"/>
          <w:szCs w:val="28"/>
        </w:rPr>
        <w:t>явля</w:t>
      </w:r>
      <w:r w:rsidR="00F86E5E" w:rsidRPr="00332930">
        <w:rPr>
          <w:rFonts w:ascii="PT Astra Serif" w:hAnsi="PT Astra Serif"/>
          <w:b w:val="0"/>
          <w:sz w:val="28"/>
          <w:szCs w:val="28"/>
        </w:rPr>
        <w:t>ется выделение финансовой помощи из областного бюджета в виде иных межбюджетных трансфертов.</w:t>
      </w:r>
    </w:p>
    <w:p w:rsidR="007D15D8" w:rsidRDefault="00F86E5E" w:rsidP="00332930">
      <w:pPr>
        <w:spacing w:line="312" w:lineRule="auto"/>
        <w:ind w:firstLine="709"/>
        <w:jc w:val="both"/>
        <w:rPr>
          <w:rFonts w:ascii="PT Astra Serif" w:hAnsi="PT Astra Serif" w:cs="Arial"/>
          <w:szCs w:val="28"/>
        </w:rPr>
      </w:pPr>
      <w:proofErr w:type="gramStart"/>
      <w:r>
        <w:rPr>
          <w:rFonts w:ascii="PT Astra Serif" w:hAnsi="PT Astra Serif"/>
          <w:szCs w:val="28"/>
        </w:rPr>
        <w:t>Законопроектом предусматривается внесение изменени</w:t>
      </w:r>
      <w:r w:rsidR="00F3059B">
        <w:rPr>
          <w:rFonts w:ascii="PT Astra Serif" w:hAnsi="PT Astra Serif"/>
          <w:szCs w:val="28"/>
        </w:rPr>
        <w:t>й</w:t>
      </w:r>
      <w:r>
        <w:rPr>
          <w:rFonts w:ascii="PT Astra Serif" w:hAnsi="PT Astra Serif"/>
          <w:szCs w:val="28"/>
        </w:rPr>
        <w:t xml:space="preserve"> в статью 20 Закона Ульяновской области  </w:t>
      </w:r>
      <w:r w:rsidRPr="00C44C55">
        <w:rPr>
          <w:rFonts w:ascii="PT Astra Serif" w:hAnsi="PT Astra Serif"/>
          <w:szCs w:val="28"/>
        </w:rPr>
        <w:t>«О межбюджетных отношениях в Ульяновской области»</w:t>
      </w:r>
      <w:r w:rsidR="00F3059B">
        <w:rPr>
          <w:rFonts w:ascii="PT Astra Serif" w:hAnsi="PT Astra Serif"/>
          <w:szCs w:val="28"/>
        </w:rPr>
        <w:t>, устанавливающей случаи предоставления иных межбюджетных трансфертов из бюджета Ульяновской области бюджетам муниципальных образований Ульяновской области, дополнив её</w:t>
      </w:r>
      <w:r>
        <w:rPr>
          <w:rFonts w:ascii="PT Astra Serif" w:hAnsi="PT Astra Serif"/>
          <w:szCs w:val="28"/>
        </w:rPr>
        <w:t xml:space="preserve"> случа</w:t>
      </w:r>
      <w:r w:rsidR="00F3059B">
        <w:rPr>
          <w:rFonts w:ascii="PT Astra Serif" w:hAnsi="PT Astra Serif"/>
          <w:szCs w:val="28"/>
        </w:rPr>
        <w:t>ем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="00F3059B">
        <w:rPr>
          <w:rFonts w:ascii="PT Astra Serif" w:hAnsi="PT Astra Serif"/>
          <w:szCs w:val="28"/>
        </w:rPr>
        <w:t>софинансирования</w:t>
      </w:r>
      <w:proofErr w:type="spellEnd"/>
      <w:r w:rsidR="00F3059B">
        <w:rPr>
          <w:rFonts w:ascii="PT Astra Serif" w:hAnsi="PT Astra Serif"/>
          <w:szCs w:val="28"/>
        </w:rPr>
        <w:t xml:space="preserve">, в том числе в полном объёме, расходных обязательств </w:t>
      </w:r>
      <w:r w:rsidR="007D15D8">
        <w:rPr>
          <w:rFonts w:ascii="PT Astra Serif" w:hAnsi="PT Astra Serif"/>
          <w:szCs w:val="28"/>
        </w:rPr>
        <w:t>возникающих в связи с</w:t>
      </w:r>
      <w:r w:rsidRPr="00C40728">
        <w:rPr>
          <w:rFonts w:ascii="PT Astra Serif" w:hAnsi="PT Astra Serif" w:cs="Arial"/>
          <w:szCs w:val="28"/>
        </w:rPr>
        <w:t xml:space="preserve"> погашение</w:t>
      </w:r>
      <w:r>
        <w:rPr>
          <w:rFonts w:ascii="PT Astra Serif" w:hAnsi="PT Astra Serif" w:cs="Arial"/>
          <w:szCs w:val="28"/>
        </w:rPr>
        <w:t>м</w:t>
      </w:r>
      <w:r w:rsidRPr="00C40728">
        <w:rPr>
          <w:rFonts w:ascii="PT Astra Serif" w:hAnsi="PT Astra Serif" w:cs="Arial"/>
          <w:szCs w:val="28"/>
        </w:rPr>
        <w:t xml:space="preserve"> кредиторской задолженности</w:t>
      </w:r>
      <w:r w:rsidR="007D15D8">
        <w:rPr>
          <w:rFonts w:ascii="PT Astra Serif" w:hAnsi="PT Astra Serif" w:cs="Arial"/>
          <w:szCs w:val="28"/>
        </w:rPr>
        <w:t xml:space="preserve"> по налогам и страховым взносам.</w:t>
      </w:r>
      <w:proofErr w:type="gramEnd"/>
    </w:p>
    <w:p w:rsidR="00F86E5E" w:rsidRDefault="007D15D8" w:rsidP="00332930">
      <w:pPr>
        <w:spacing w:line="312" w:lineRule="auto"/>
        <w:ind w:firstLine="709"/>
        <w:jc w:val="both"/>
        <w:rPr>
          <w:rFonts w:ascii="PT Astra Serif" w:hAnsi="PT Astra Serif" w:cs="Arial"/>
          <w:szCs w:val="28"/>
        </w:rPr>
      </w:pPr>
      <w:r>
        <w:rPr>
          <w:rFonts w:ascii="PT Astra Serif" w:hAnsi="PT Astra Serif" w:cs="Arial"/>
          <w:szCs w:val="28"/>
        </w:rPr>
        <w:t>Кроме того из абзаца первого статьи 20</w:t>
      </w:r>
      <w:r w:rsidR="00332930">
        <w:rPr>
          <w:rFonts w:ascii="PT Astra Serif" w:hAnsi="PT Astra Serif" w:cs="Arial"/>
          <w:szCs w:val="28"/>
        </w:rPr>
        <w:t xml:space="preserve"> исключается отсылка к части третьей статьи 139</w:t>
      </w:r>
      <w:r w:rsidR="00332930">
        <w:rPr>
          <w:rFonts w:ascii="PT Astra Serif" w:hAnsi="PT Astra Serif" w:cs="Arial"/>
          <w:szCs w:val="28"/>
          <w:vertAlign w:val="superscript"/>
        </w:rPr>
        <w:t xml:space="preserve">1 </w:t>
      </w:r>
      <w:r w:rsidR="00332930">
        <w:rPr>
          <w:rFonts w:ascii="PT Astra Serif" w:hAnsi="PT Astra Serif" w:cs="Arial"/>
          <w:szCs w:val="28"/>
        </w:rPr>
        <w:t xml:space="preserve">, в связи с утратой силы. </w:t>
      </w:r>
    </w:p>
    <w:p w:rsidR="004C13F4" w:rsidRPr="00173DE7" w:rsidRDefault="004C13F4" w:rsidP="00332930">
      <w:pPr>
        <w:spacing w:line="312" w:lineRule="auto"/>
        <w:ind w:firstLine="709"/>
        <w:jc w:val="both"/>
        <w:rPr>
          <w:rFonts w:ascii="PT Astra Serif" w:hAnsi="PT Astra Serif"/>
          <w:szCs w:val="28"/>
        </w:rPr>
      </w:pPr>
      <w:r w:rsidRPr="00D62EFA">
        <w:rPr>
          <w:rFonts w:ascii="PT Astra Serif" w:hAnsi="PT Astra Serif"/>
          <w:szCs w:val="28"/>
        </w:rPr>
        <w:t xml:space="preserve">Проект подготовлен начальником </w:t>
      </w:r>
      <w:proofErr w:type="gramStart"/>
      <w:r w:rsidRPr="00D62EFA">
        <w:rPr>
          <w:rFonts w:ascii="PT Astra Serif" w:hAnsi="PT Astra Serif"/>
          <w:szCs w:val="28"/>
        </w:rPr>
        <w:t>отдела межбюджетных</w:t>
      </w:r>
      <w:r w:rsidRPr="00173DE7">
        <w:rPr>
          <w:rFonts w:ascii="PT Astra Serif" w:hAnsi="PT Astra Serif"/>
          <w:szCs w:val="28"/>
        </w:rPr>
        <w:t xml:space="preserve"> отношений департамента планирования бюджета Министерства финансов Ульяновской области</w:t>
      </w:r>
      <w:proofErr w:type="gramEnd"/>
      <w:r w:rsidRPr="00173DE7">
        <w:rPr>
          <w:rFonts w:ascii="PT Astra Serif" w:hAnsi="PT Astra Serif"/>
          <w:szCs w:val="28"/>
        </w:rPr>
        <w:t xml:space="preserve"> </w:t>
      </w:r>
      <w:proofErr w:type="spellStart"/>
      <w:r w:rsidRPr="00173DE7">
        <w:rPr>
          <w:rFonts w:ascii="PT Astra Serif" w:hAnsi="PT Astra Serif"/>
          <w:szCs w:val="28"/>
        </w:rPr>
        <w:t>Провальновой</w:t>
      </w:r>
      <w:proofErr w:type="spellEnd"/>
      <w:r w:rsidRPr="00173DE7">
        <w:rPr>
          <w:rFonts w:ascii="PT Astra Serif" w:hAnsi="PT Astra Serif"/>
          <w:szCs w:val="28"/>
        </w:rPr>
        <w:t xml:space="preserve"> Ольгой Александровной (73-55-93).</w:t>
      </w: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4C13F4" w:rsidRPr="00173DE7" w:rsidRDefault="004C13F4" w:rsidP="004C13F4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4C13F4" w:rsidRPr="00EF7C1F" w:rsidRDefault="004C13F4" w:rsidP="004C13F4">
      <w:pPr>
        <w:widowControl w:val="0"/>
        <w:spacing w:line="276" w:lineRule="auto"/>
        <w:contextualSpacing/>
        <w:jc w:val="both"/>
        <w:rPr>
          <w:rFonts w:ascii="PT Astra Serif" w:hAnsi="PT Astra Serif"/>
          <w:szCs w:val="28"/>
        </w:rPr>
      </w:pPr>
      <w:proofErr w:type="gramStart"/>
      <w:r w:rsidRPr="00EF7C1F">
        <w:rPr>
          <w:rFonts w:ascii="PT Astra Serif" w:hAnsi="PT Astra Serif"/>
          <w:szCs w:val="28"/>
        </w:rPr>
        <w:t>Исполняющий</w:t>
      </w:r>
      <w:proofErr w:type="gramEnd"/>
      <w:r w:rsidRPr="00EF7C1F">
        <w:rPr>
          <w:rFonts w:ascii="PT Astra Serif" w:hAnsi="PT Astra Serif"/>
          <w:szCs w:val="28"/>
        </w:rPr>
        <w:t xml:space="preserve"> обязанности </w:t>
      </w:r>
    </w:p>
    <w:p w:rsidR="004C13F4" w:rsidRDefault="004C13F4" w:rsidP="00665D89">
      <w:pPr>
        <w:widowControl w:val="0"/>
        <w:spacing w:line="276" w:lineRule="auto"/>
        <w:contextualSpacing/>
        <w:jc w:val="both"/>
        <w:rPr>
          <w:rFonts w:ascii="PT Astra Serif" w:hAnsi="PT Astra Serif"/>
          <w:b/>
          <w:bCs/>
          <w:szCs w:val="28"/>
        </w:rPr>
      </w:pPr>
      <w:r w:rsidRPr="00EF7C1F">
        <w:rPr>
          <w:rFonts w:ascii="PT Astra Serif" w:hAnsi="PT Astra Serif"/>
          <w:szCs w:val="28"/>
        </w:rPr>
        <w:t>Министра финансов</w:t>
      </w:r>
      <w:r w:rsidR="00665D89">
        <w:rPr>
          <w:rFonts w:ascii="PT Astra Serif" w:hAnsi="PT Astra Serif"/>
          <w:szCs w:val="28"/>
        </w:rPr>
        <w:t xml:space="preserve"> </w:t>
      </w:r>
      <w:r w:rsidRPr="00EF7C1F">
        <w:rPr>
          <w:rFonts w:ascii="PT Astra Serif" w:hAnsi="PT Astra Serif"/>
          <w:szCs w:val="28"/>
        </w:rPr>
        <w:t xml:space="preserve">Ульяновской области </w:t>
      </w:r>
      <w:r w:rsidRPr="00EF7C1F">
        <w:rPr>
          <w:rFonts w:ascii="PT Astra Serif" w:hAnsi="PT Astra Serif"/>
          <w:szCs w:val="28"/>
        </w:rPr>
        <w:tab/>
      </w:r>
      <w:r w:rsidRPr="00EF7C1F">
        <w:rPr>
          <w:rFonts w:ascii="PT Astra Serif" w:hAnsi="PT Astra Serif"/>
          <w:szCs w:val="28"/>
        </w:rPr>
        <w:tab/>
      </w:r>
      <w:r w:rsidRPr="00EF7C1F">
        <w:rPr>
          <w:rFonts w:ascii="PT Astra Serif" w:hAnsi="PT Astra Serif"/>
          <w:szCs w:val="28"/>
        </w:rPr>
        <w:tab/>
      </w:r>
      <w:r w:rsidR="00657A4E">
        <w:rPr>
          <w:rFonts w:ascii="PT Astra Serif" w:hAnsi="PT Astra Serif"/>
          <w:szCs w:val="28"/>
        </w:rPr>
        <w:t xml:space="preserve">        </w:t>
      </w:r>
      <w:r w:rsidR="00665D89">
        <w:rPr>
          <w:rFonts w:ascii="PT Astra Serif" w:hAnsi="PT Astra Serif"/>
          <w:szCs w:val="28"/>
        </w:rPr>
        <w:t>Н.Г.Брюханова</w:t>
      </w:r>
    </w:p>
    <w:p w:rsidR="00C65F70" w:rsidRPr="004C13F4" w:rsidRDefault="00C65F70" w:rsidP="004C13F4">
      <w:pPr>
        <w:rPr>
          <w:szCs w:val="28"/>
        </w:rPr>
      </w:pPr>
    </w:p>
    <w:sectPr w:rsidR="00C65F70" w:rsidRPr="004C13F4" w:rsidSect="00665D89">
      <w:headerReference w:type="default" r:id="rId7"/>
      <w:pgSz w:w="11906" w:h="16838"/>
      <w:pgMar w:top="851" w:right="567" w:bottom="56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59B" w:rsidRDefault="00F3059B" w:rsidP="000B3B58">
      <w:r>
        <w:separator/>
      </w:r>
    </w:p>
  </w:endnote>
  <w:endnote w:type="continuationSeparator" w:id="0">
    <w:p w:rsidR="00F3059B" w:rsidRDefault="00F3059B" w:rsidP="000B3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59B" w:rsidRDefault="00F3059B" w:rsidP="000B3B58">
      <w:r>
        <w:separator/>
      </w:r>
    </w:p>
  </w:footnote>
  <w:footnote w:type="continuationSeparator" w:id="0">
    <w:p w:rsidR="00F3059B" w:rsidRDefault="00F3059B" w:rsidP="000B3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839063"/>
      <w:docPartObj>
        <w:docPartGallery w:val="Page Numbers (Top of Page)"/>
        <w:docPartUnique/>
      </w:docPartObj>
    </w:sdtPr>
    <w:sdtContent>
      <w:p w:rsidR="00F3059B" w:rsidRDefault="00F3059B">
        <w:pPr>
          <w:pStyle w:val="a9"/>
          <w:jc w:val="center"/>
        </w:pPr>
        <w:fldSimple w:instr=" PAGE   \* MERGEFORMAT ">
          <w:r w:rsidR="007D15D8">
            <w:rPr>
              <w:noProof/>
            </w:rPr>
            <w:t>2</w:t>
          </w:r>
        </w:fldSimple>
      </w:p>
    </w:sdtContent>
  </w:sdt>
  <w:p w:rsidR="00F3059B" w:rsidRDefault="00F3059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EBA"/>
    <w:multiLevelType w:val="hybridMultilevel"/>
    <w:tmpl w:val="C1EAD84E"/>
    <w:lvl w:ilvl="0" w:tplc="C22223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FE4C49"/>
    <w:multiLevelType w:val="hybridMultilevel"/>
    <w:tmpl w:val="CD20D48E"/>
    <w:lvl w:ilvl="0" w:tplc="18666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B724D8"/>
    <w:multiLevelType w:val="hybridMultilevel"/>
    <w:tmpl w:val="6D40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46CD5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866C72"/>
    <w:multiLevelType w:val="hybridMultilevel"/>
    <w:tmpl w:val="53B4AC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8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9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abstractNum w:abstractNumId="10">
    <w:nsid w:val="79EE66ED"/>
    <w:multiLevelType w:val="hybridMultilevel"/>
    <w:tmpl w:val="C2443540"/>
    <w:lvl w:ilvl="0" w:tplc="B3D44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BBD"/>
    <w:rsid w:val="00001B73"/>
    <w:rsid w:val="00020CCD"/>
    <w:rsid w:val="00024D8E"/>
    <w:rsid w:val="000300AD"/>
    <w:rsid w:val="0003289A"/>
    <w:rsid w:val="00057F96"/>
    <w:rsid w:val="00070834"/>
    <w:rsid w:val="000A13C1"/>
    <w:rsid w:val="000A3007"/>
    <w:rsid w:val="000B3B58"/>
    <w:rsid w:val="000B51D1"/>
    <w:rsid w:val="000B6BF9"/>
    <w:rsid w:val="000D2EB8"/>
    <w:rsid w:val="000D3344"/>
    <w:rsid w:val="000F3597"/>
    <w:rsid w:val="00100BB2"/>
    <w:rsid w:val="001354CE"/>
    <w:rsid w:val="0014327A"/>
    <w:rsid w:val="00143EA8"/>
    <w:rsid w:val="00156F93"/>
    <w:rsid w:val="001769C0"/>
    <w:rsid w:val="00184C62"/>
    <w:rsid w:val="001926C3"/>
    <w:rsid w:val="001B4838"/>
    <w:rsid w:val="001B5187"/>
    <w:rsid w:val="001C3F68"/>
    <w:rsid w:val="001C74D1"/>
    <w:rsid w:val="001D20E7"/>
    <w:rsid w:val="001D6F0D"/>
    <w:rsid w:val="00203BAD"/>
    <w:rsid w:val="00210E7A"/>
    <w:rsid w:val="00221955"/>
    <w:rsid w:val="002401A0"/>
    <w:rsid w:val="0024187F"/>
    <w:rsid w:val="00253D94"/>
    <w:rsid w:val="00257134"/>
    <w:rsid w:val="002659E2"/>
    <w:rsid w:val="00270841"/>
    <w:rsid w:val="00276B26"/>
    <w:rsid w:val="0028690C"/>
    <w:rsid w:val="002A5B07"/>
    <w:rsid w:val="002A5BFF"/>
    <w:rsid w:val="002B7451"/>
    <w:rsid w:val="002C0FA3"/>
    <w:rsid w:val="002D1330"/>
    <w:rsid w:val="003045B7"/>
    <w:rsid w:val="003137F0"/>
    <w:rsid w:val="00316505"/>
    <w:rsid w:val="00330C2E"/>
    <w:rsid w:val="00331164"/>
    <w:rsid w:val="00332930"/>
    <w:rsid w:val="00350F1F"/>
    <w:rsid w:val="00360E1D"/>
    <w:rsid w:val="00366C7E"/>
    <w:rsid w:val="003712BE"/>
    <w:rsid w:val="003762E2"/>
    <w:rsid w:val="00395F51"/>
    <w:rsid w:val="003B7A69"/>
    <w:rsid w:val="003D2103"/>
    <w:rsid w:val="003E4E2F"/>
    <w:rsid w:val="003F1FFB"/>
    <w:rsid w:val="003F350A"/>
    <w:rsid w:val="00402C7E"/>
    <w:rsid w:val="00403E67"/>
    <w:rsid w:val="00411282"/>
    <w:rsid w:val="00416B63"/>
    <w:rsid w:val="00427150"/>
    <w:rsid w:val="0043499C"/>
    <w:rsid w:val="0046410F"/>
    <w:rsid w:val="00467539"/>
    <w:rsid w:val="00495625"/>
    <w:rsid w:val="00496E8D"/>
    <w:rsid w:val="004A02D5"/>
    <w:rsid w:val="004B127B"/>
    <w:rsid w:val="004C13F4"/>
    <w:rsid w:val="004C16F5"/>
    <w:rsid w:val="004C2446"/>
    <w:rsid w:val="004E0242"/>
    <w:rsid w:val="004E37B9"/>
    <w:rsid w:val="004F16DE"/>
    <w:rsid w:val="0052363C"/>
    <w:rsid w:val="0054781E"/>
    <w:rsid w:val="00550548"/>
    <w:rsid w:val="0056348D"/>
    <w:rsid w:val="005909B0"/>
    <w:rsid w:val="00595FE1"/>
    <w:rsid w:val="005A1A5B"/>
    <w:rsid w:val="005D3FDF"/>
    <w:rsid w:val="005E64EE"/>
    <w:rsid w:val="006213DF"/>
    <w:rsid w:val="00621670"/>
    <w:rsid w:val="00640B43"/>
    <w:rsid w:val="00646305"/>
    <w:rsid w:val="006575B2"/>
    <w:rsid w:val="00657A4E"/>
    <w:rsid w:val="00665D89"/>
    <w:rsid w:val="00667BA2"/>
    <w:rsid w:val="00670E35"/>
    <w:rsid w:val="00671DDE"/>
    <w:rsid w:val="006770BE"/>
    <w:rsid w:val="00687DA9"/>
    <w:rsid w:val="006A1833"/>
    <w:rsid w:val="006A28ED"/>
    <w:rsid w:val="006C4358"/>
    <w:rsid w:val="006D7039"/>
    <w:rsid w:val="0070162E"/>
    <w:rsid w:val="00702078"/>
    <w:rsid w:val="007035D8"/>
    <w:rsid w:val="007312B1"/>
    <w:rsid w:val="00736DC4"/>
    <w:rsid w:val="0075715F"/>
    <w:rsid w:val="00772B17"/>
    <w:rsid w:val="007749C8"/>
    <w:rsid w:val="007A69A9"/>
    <w:rsid w:val="007B29F0"/>
    <w:rsid w:val="007C6203"/>
    <w:rsid w:val="007D15D8"/>
    <w:rsid w:val="007D4A6E"/>
    <w:rsid w:val="007E0874"/>
    <w:rsid w:val="007F3998"/>
    <w:rsid w:val="007F5A04"/>
    <w:rsid w:val="008168CA"/>
    <w:rsid w:val="00822260"/>
    <w:rsid w:val="00837242"/>
    <w:rsid w:val="008937FF"/>
    <w:rsid w:val="00893EF8"/>
    <w:rsid w:val="008B7ADD"/>
    <w:rsid w:val="008C4368"/>
    <w:rsid w:val="008D5D4D"/>
    <w:rsid w:val="009336ED"/>
    <w:rsid w:val="009509BE"/>
    <w:rsid w:val="00951BB0"/>
    <w:rsid w:val="00957FED"/>
    <w:rsid w:val="009910F3"/>
    <w:rsid w:val="0099375E"/>
    <w:rsid w:val="009957E2"/>
    <w:rsid w:val="009A05A6"/>
    <w:rsid w:val="009A0956"/>
    <w:rsid w:val="00A12F8E"/>
    <w:rsid w:val="00A25DC2"/>
    <w:rsid w:val="00A3060B"/>
    <w:rsid w:val="00A3082C"/>
    <w:rsid w:val="00A435D8"/>
    <w:rsid w:val="00A64036"/>
    <w:rsid w:val="00A72355"/>
    <w:rsid w:val="00A803CE"/>
    <w:rsid w:val="00A878EF"/>
    <w:rsid w:val="00AC6133"/>
    <w:rsid w:val="00AD0422"/>
    <w:rsid w:val="00AD18D6"/>
    <w:rsid w:val="00AD1D6C"/>
    <w:rsid w:val="00AD4D03"/>
    <w:rsid w:val="00B02282"/>
    <w:rsid w:val="00B07571"/>
    <w:rsid w:val="00B156F6"/>
    <w:rsid w:val="00B22F8D"/>
    <w:rsid w:val="00B3259A"/>
    <w:rsid w:val="00B44247"/>
    <w:rsid w:val="00B51B28"/>
    <w:rsid w:val="00B531B6"/>
    <w:rsid w:val="00B602F6"/>
    <w:rsid w:val="00B65404"/>
    <w:rsid w:val="00B72D23"/>
    <w:rsid w:val="00B73DEE"/>
    <w:rsid w:val="00B92FBB"/>
    <w:rsid w:val="00BD2BBD"/>
    <w:rsid w:val="00BF1D9D"/>
    <w:rsid w:val="00BF7CF9"/>
    <w:rsid w:val="00C0075C"/>
    <w:rsid w:val="00C34048"/>
    <w:rsid w:val="00C435A6"/>
    <w:rsid w:val="00C44C55"/>
    <w:rsid w:val="00C46E79"/>
    <w:rsid w:val="00C55E37"/>
    <w:rsid w:val="00C64FD1"/>
    <w:rsid w:val="00C65F70"/>
    <w:rsid w:val="00C80344"/>
    <w:rsid w:val="00CC34BB"/>
    <w:rsid w:val="00CD0F2A"/>
    <w:rsid w:val="00CF0599"/>
    <w:rsid w:val="00CF45C5"/>
    <w:rsid w:val="00CF77F2"/>
    <w:rsid w:val="00D25E7E"/>
    <w:rsid w:val="00D60D0E"/>
    <w:rsid w:val="00D62EFA"/>
    <w:rsid w:val="00D939FF"/>
    <w:rsid w:val="00DA0FA1"/>
    <w:rsid w:val="00DA3E9F"/>
    <w:rsid w:val="00DB4FEF"/>
    <w:rsid w:val="00DC019C"/>
    <w:rsid w:val="00DD7713"/>
    <w:rsid w:val="00DE4CE4"/>
    <w:rsid w:val="00DF3016"/>
    <w:rsid w:val="00E1398A"/>
    <w:rsid w:val="00E21073"/>
    <w:rsid w:val="00E677F2"/>
    <w:rsid w:val="00E70A74"/>
    <w:rsid w:val="00E83349"/>
    <w:rsid w:val="00EA1A72"/>
    <w:rsid w:val="00EB3672"/>
    <w:rsid w:val="00ED546C"/>
    <w:rsid w:val="00F12A50"/>
    <w:rsid w:val="00F3059B"/>
    <w:rsid w:val="00F431FE"/>
    <w:rsid w:val="00F46C0D"/>
    <w:rsid w:val="00F47229"/>
    <w:rsid w:val="00F8167D"/>
    <w:rsid w:val="00F85001"/>
    <w:rsid w:val="00F86E5E"/>
    <w:rsid w:val="00F922D4"/>
    <w:rsid w:val="00FA03BF"/>
    <w:rsid w:val="00FB4CB0"/>
    <w:rsid w:val="00FC2EAC"/>
    <w:rsid w:val="00FC3DEA"/>
    <w:rsid w:val="00FD49F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355"/>
    <w:rPr>
      <w:sz w:val="28"/>
    </w:rPr>
  </w:style>
  <w:style w:type="paragraph" w:styleId="1">
    <w:name w:val="heading 1"/>
    <w:basedOn w:val="a"/>
    <w:next w:val="a"/>
    <w:qFormat/>
    <w:rsid w:val="00A72355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A723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72355"/>
    <w:pPr>
      <w:ind w:firstLine="709"/>
      <w:jc w:val="both"/>
    </w:pPr>
  </w:style>
  <w:style w:type="paragraph" w:customStyle="1" w:styleId="ConsNormal">
    <w:name w:val="ConsNormal"/>
    <w:rsid w:val="00A72355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A72355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A72355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A72355"/>
    <w:pPr>
      <w:jc w:val="center"/>
    </w:pPr>
    <w:rPr>
      <w:b/>
      <w:sz w:val="24"/>
    </w:rPr>
  </w:style>
  <w:style w:type="paragraph" w:styleId="a5">
    <w:name w:val="Body Text"/>
    <w:basedOn w:val="a"/>
    <w:rsid w:val="00A72355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A72355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A72355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сновной текст1"/>
    <w:basedOn w:val="a"/>
    <w:rsid w:val="00020CCD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  <w:style w:type="paragraph" w:styleId="a7">
    <w:name w:val="List Paragraph"/>
    <w:aliases w:val="ПАРАГРАФ,Абзац списка для документа"/>
    <w:basedOn w:val="a"/>
    <w:link w:val="a8"/>
    <w:uiPriority w:val="34"/>
    <w:qFormat/>
    <w:rsid w:val="004F16DE"/>
    <w:pPr>
      <w:ind w:left="720"/>
      <w:contextualSpacing/>
    </w:pPr>
  </w:style>
  <w:style w:type="character" w:customStyle="1" w:styleId="a8">
    <w:name w:val="Абзац списка Знак"/>
    <w:aliases w:val="ПАРАГРАФ Знак,Абзац списка для документа Знак"/>
    <w:link w:val="a7"/>
    <w:uiPriority w:val="34"/>
    <w:locked/>
    <w:rsid w:val="00E83349"/>
    <w:rPr>
      <w:sz w:val="28"/>
    </w:rPr>
  </w:style>
  <w:style w:type="paragraph" w:styleId="a9">
    <w:name w:val="header"/>
    <w:basedOn w:val="a"/>
    <w:link w:val="aa"/>
    <w:uiPriority w:val="99"/>
    <w:rsid w:val="000B3B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3B58"/>
    <w:rPr>
      <w:sz w:val="28"/>
    </w:rPr>
  </w:style>
  <w:style w:type="paragraph" w:styleId="ab">
    <w:name w:val="footer"/>
    <w:basedOn w:val="a"/>
    <w:link w:val="ac"/>
    <w:rsid w:val="000B3B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B3B5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513</Words>
  <Characters>3874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U57</cp:lastModifiedBy>
  <cp:revision>36</cp:revision>
  <cp:lastPrinted>2023-02-07T10:32:00Z</cp:lastPrinted>
  <dcterms:created xsi:type="dcterms:W3CDTF">2022-08-03T09:15:00Z</dcterms:created>
  <dcterms:modified xsi:type="dcterms:W3CDTF">2023-04-12T05:37:00Z</dcterms:modified>
</cp:coreProperties>
</file>