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yle25"/>
        <w:spacing w:lineRule="auto" w:line="240"/>
        <w:ind w:left="0" w:right="0" w:firstLine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/>
          <w:sz w:val="30"/>
          <w:szCs w:val="30"/>
        </w:rPr>
      </w:pPr>
      <w:r>
        <w:rPr>
          <w:rFonts w:cs="PT Astra Serif" w:ascii="PT Astra Serif" w:hAnsi="PT Astra Serif"/>
          <w:b/>
          <w:sz w:val="30"/>
          <w:szCs w:val="30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/>
          <w:sz w:val="30"/>
          <w:szCs w:val="30"/>
        </w:rPr>
      </w:pPr>
      <w:r>
        <w:rPr>
          <w:rFonts w:cs="PT Astra Serif" w:ascii="PT Astra Serif" w:hAnsi="PT Astra Serif"/>
          <w:b/>
          <w:sz w:val="30"/>
          <w:szCs w:val="30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/>
          <w:sz w:val="30"/>
          <w:szCs w:val="30"/>
        </w:rPr>
      </w:pPr>
      <w:r>
        <w:rPr>
          <w:rFonts w:cs="PT Astra Serif" w:ascii="PT Astra Serif" w:hAnsi="PT Astra Serif"/>
          <w:b/>
          <w:sz w:val="30"/>
          <w:szCs w:val="30"/>
        </w:rPr>
      </w:r>
    </w:p>
    <w:p>
      <w:pPr>
        <w:pStyle w:val="Normal"/>
        <w:spacing w:lineRule="auto" w:line="360" w:before="0" w:after="0"/>
        <w:jc w:val="center"/>
        <w:rPr/>
      </w:pPr>
      <w:r>
        <w:rPr>
          <w:rFonts w:cs="PT Astra Serif" w:ascii="PT Astra Serif" w:hAnsi="PT Astra Serif"/>
          <w:b/>
          <w:sz w:val="44"/>
          <w:szCs w:val="44"/>
        </w:rPr>
        <w:t>ФЕДЕРАЛЬНЫЙ ЗАКОН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/>
          <w:sz w:val="30"/>
          <w:szCs w:val="30"/>
        </w:rPr>
      </w:pPr>
      <w:r>
        <w:rPr>
          <w:rFonts w:cs="PT Astra Serif" w:ascii="PT Astra Serif" w:hAnsi="PT Astra Serif"/>
          <w:b/>
          <w:sz w:val="30"/>
          <w:szCs w:val="30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/>
          <w:sz w:val="30"/>
          <w:szCs w:val="30"/>
        </w:rPr>
      </w:pPr>
      <w:r>
        <w:rPr>
          <w:rFonts w:cs="PT Astra Serif" w:ascii="PT Astra Serif" w:hAnsi="PT Astra Serif"/>
          <w:b/>
          <w:sz w:val="30"/>
          <w:szCs w:val="30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/>
          <w:sz w:val="30"/>
          <w:szCs w:val="30"/>
        </w:rPr>
      </w:pPr>
      <w:r>
        <w:rPr>
          <w:rFonts w:cs="PT Astra Serif" w:ascii="PT Astra Serif" w:hAnsi="PT Astra Serif"/>
          <w:b/>
          <w:sz w:val="30"/>
          <w:szCs w:val="30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/>
          <w:sz w:val="30"/>
          <w:szCs w:val="30"/>
        </w:rPr>
      </w:pPr>
      <w:r>
        <w:rPr>
          <w:rFonts w:cs="PT Astra Serif" w:ascii="PT Astra Serif" w:hAnsi="PT Astra Serif"/>
          <w:b/>
          <w:sz w:val="30"/>
          <w:szCs w:val="30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PT Astra Serif" w:ascii="PT Astra Serif" w:hAnsi="PT Astra Serif"/>
          <w:b/>
          <w:sz w:val="30"/>
          <w:szCs w:val="30"/>
        </w:rPr>
        <w:t xml:space="preserve">О внесении изменений в статьи 16 и 17 </w:t>
      </w:r>
    </w:p>
    <w:p>
      <w:pPr>
        <w:pStyle w:val="Normal"/>
        <w:spacing w:lineRule="auto" w:line="240" w:before="0" w:after="0"/>
        <w:jc w:val="center"/>
        <w:rPr>
          <w:sz w:val="30"/>
          <w:szCs w:val="30"/>
        </w:rPr>
      </w:pPr>
      <w:r>
        <w:rPr>
          <w:rFonts w:eastAsia="PT Astra Serif" w:cs="PT Astra Serif" w:ascii="PT Astra Serif" w:hAnsi="PT Astra Serif"/>
          <w:b/>
          <w:sz w:val="30"/>
          <w:szCs w:val="30"/>
        </w:rPr>
        <w:t xml:space="preserve">Федерального </w:t>
      </w:r>
      <w:r>
        <w:rPr>
          <w:rFonts w:cs="PT Astra Serif" w:ascii="PT Astra Serif" w:hAnsi="PT Astra Serif"/>
          <w:b/>
          <w:sz w:val="30"/>
          <w:szCs w:val="30"/>
        </w:rPr>
        <w:t>закона «О ведении гражданами садоводства</w:t>
        <w:br/>
        <w:t>и огородничества для собственных нужд и о внесении изменений</w:t>
        <w:br/>
        <w:t>в отдельные законодательные акты Российской Федерации»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/>
          <w:sz w:val="30"/>
          <w:szCs w:val="30"/>
        </w:rPr>
      </w:pPr>
      <w:r>
        <w:rPr>
          <w:rFonts w:cs="PT Astra Serif" w:ascii="PT Astra Serif" w:hAnsi="PT Astra Serif"/>
          <w:b/>
          <w:sz w:val="30"/>
          <w:szCs w:val="30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/>
          <w:sz w:val="30"/>
          <w:szCs w:val="30"/>
        </w:rPr>
      </w:pPr>
      <w:r>
        <w:rPr>
          <w:rFonts w:cs="PT Astra Serif" w:ascii="PT Astra Serif" w:hAnsi="PT Astra Serif"/>
          <w:b/>
          <w:sz w:val="30"/>
          <w:szCs w:val="30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/>
          <w:sz w:val="30"/>
          <w:szCs w:val="30"/>
        </w:rPr>
      </w:pPr>
      <w:r>
        <w:rPr>
          <w:rFonts w:cs="PT Astra Serif" w:ascii="PT Astra Serif" w:hAnsi="PT Astra Serif"/>
          <w:b/>
          <w:sz w:val="30"/>
          <w:szCs w:val="30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 w:cs="PT Astra Serif"/>
          <w:b/>
          <w:b/>
          <w:sz w:val="30"/>
          <w:szCs w:val="30"/>
        </w:rPr>
      </w:pPr>
      <w:r>
        <w:rPr>
          <w:rFonts w:cs="PT Astra Serif" w:ascii="PT Astra Serif" w:hAnsi="PT Astra Serif"/>
          <w:b/>
          <w:sz w:val="30"/>
          <w:szCs w:val="30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cs="PT Astra Serif"/>
          <w:b/>
          <w:b/>
          <w:sz w:val="30"/>
          <w:szCs w:val="30"/>
        </w:rPr>
      </w:pPr>
      <w:r>
        <w:rPr>
          <w:rFonts w:cs="PT Astra Serif" w:ascii="PT Astra Serif" w:hAnsi="PT Astra Serif"/>
          <w:b/>
          <w:sz w:val="30"/>
          <w:szCs w:val="30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</w:rPr>
        <w:t>Внести в Федеральный закон от 29 июля 2017 года № 217-ФЗ</w:t>
        <w:br/>
        <w:t>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(Собрание законодательства Российской Федерации, 2017, № 31, ст. 4766) следующие изменения: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680"/>
        <w:jc w:val="both"/>
        <w:rPr/>
      </w:pPr>
      <w:r>
        <w:rPr>
          <w:rFonts w:cs="PT Astra Serif" w:ascii="PT Astra Serif" w:hAnsi="PT Astra Serif"/>
          <w:sz w:val="30"/>
          <w:szCs w:val="30"/>
        </w:rPr>
        <w:t>1)</w:t>
      </w:r>
      <w:r>
        <w:rPr>
          <w:rFonts w:cs="PT Astra Serif" w:ascii="PT Astra Serif" w:hAnsi="PT Astra Serif"/>
          <w:sz w:val="30"/>
          <w:szCs w:val="30"/>
          <w:lang w:eastAsia="ru-RU"/>
        </w:rPr>
        <w:t xml:space="preserve"> второе предложение части 5 статьи 16 исключить;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</w:rPr>
        <w:t>2) в статье 17: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</w:rPr>
        <w:t>а) дополнить частью 1</w:t>
      </w:r>
      <w:r>
        <w:rPr>
          <w:rFonts w:cs="PT Astra Serif" w:ascii="PT Astra Serif" w:hAnsi="PT Astra Serif"/>
          <w:sz w:val="30"/>
          <w:szCs w:val="30"/>
          <w:vertAlign w:val="superscript"/>
        </w:rPr>
        <w:t xml:space="preserve">1 </w:t>
      </w:r>
      <w:r>
        <w:rPr>
          <w:rFonts w:cs="PT Astra Serif" w:ascii="PT Astra Serif" w:hAnsi="PT Astra Serif"/>
          <w:sz w:val="30"/>
          <w:szCs w:val="30"/>
          <w:lang w:eastAsia="ru-RU"/>
        </w:rPr>
        <w:t>следующего содержания: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  <w:lang w:eastAsia="ru-RU"/>
        </w:rPr>
        <w:t>«1</w:t>
      </w:r>
      <w:r>
        <w:rPr>
          <w:rFonts w:cs="PT Astra Serif" w:ascii="PT Astra Serif" w:hAnsi="PT Astra Serif"/>
          <w:sz w:val="30"/>
          <w:szCs w:val="30"/>
          <w:vertAlign w:val="superscript"/>
          <w:lang w:eastAsia="ru-RU"/>
        </w:rPr>
        <w:t>1</w:t>
      </w:r>
      <w:r>
        <w:rPr>
          <w:rFonts w:cs="PT Astra Serif" w:ascii="PT Astra Serif" w:hAnsi="PT Astra Serif"/>
          <w:sz w:val="30"/>
          <w:szCs w:val="30"/>
          <w:lang w:eastAsia="ru-RU"/>
        </w:rPr>
        <w:t>. Уставом товарищества может быть предусмотрено, что в общем   собрании членов товарищества вправе принимать участие с правом голоса уполномоченные представители членов товарищества (далее — уполномоченные), избираемые из числа членов товарищества</w:t>
        <w:br/>
        <w:t>в соответствии с уставом товарищества, которым в этом случае устанавливаются: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  <w:lang w:eastAsia="ru-RU"/>
        </w:rPr>
        <w:t>1) число членов товарищества, от которых избирается один уполномоченный;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  <w:lang w:eastAsia="ru-RU"/>
        </w:rPr>
        <w:t>2) срок полномочий уполномоченного;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  <w:lang w:eastAsia="ru-RU"/>
        </w:rPr>
        <w:t>3) порядок избрания уполномоченных (открытым голосованием</w:t>
        <w:br/>
        <w:t>или тайным голосованием с использованием бюллетеней);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  <w:lang w:val="ru-RU" w:eastAsia="ru-RU"/>
        </w:rPr>
        <w:t>4) обязанности уполномоченного, предусмотренные настоящей частью статьи;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  <w:lang w:val="ru-RU" w:eastAsia="ru-RU"/>
        </w:rPr>
        <w:t>5</w:t>
      </w:r>
      <w:r>
        <w:rPr>
          <w:rFonts w:cs="PT Astra Serif" w:ascii="PT Astra Serif" w:hAnsi="PT Astra Serif"/>
          <w:sz w:val="30"/>
          <w:szCs w:val="30"/>
          <w:lang w:eastAsia="ru-RU"/>
        </w:rPr>
        <w:t xml:space="preserve">) условия досрочного </w:t>
      </w:r>
      <w:r>
        <w:rPr>
          <w:rFonts w:cs="PT Astra Serif" w:ascii="PT Astra Serif" w:hAnsi="PT Astra Serif"/>
          <w:b w:val="false"/>
          <w:bCs w:val="false"/>
          <w:sz w:val="30"/>
          <w:szCs w:val="30"/>
          <w:lang w:eastAsia="ru-RU"/>
        </w:rPr>
        <w:t>прекращения деятельности уполномоченного</w:t>
      </w:r>
      <w:r>
        <w:rPr>
          <w:rFonts w:cs="PT Astra Serif" w:ascii="PT Astra Serif" w:hAnsi="PT Astra Serif"/>
          <w:sz w:val="30"/>
          <w:szCs w:val="30"/>
          <w:lang w:eastAsia="ru-RU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b w:val="false"/>
          <w:bCs w:val="false"/>
          <w:sz w:val="30"/>
          <w:szCs w:val="30"/>
          <w:lang w:eastAsia="ru-RU"/>
        </w:rPr>
        <w:t>В случае неисполнения уполномоченным обязанностей, предусмотренных уставом товарищества, члены товарищества вправе инициировать досрочное прекращение деятельности уполномоченного.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  <w:lang w:eastAsia="ru-RU"/>
        </w:rPr>
        <w:t>Число голосов, которыми обладает уполномоченный, участвующий в общем собрании членов товарищества, равно числу голосов членов    товарищества, избравших уполномоченного и не принявших участие</w:t>
        <w:br/>
        <w:t>в общем собрании членов товарищества.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  <w:lang w:eastAsia="ru-RU"/>
        </w:rPr>
        <w:t>Уполномоченные не могут передавать осуществление своих полномочий другим лицам, в том числе членам товарищества.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  <w:lang w:eastAsia="ru-RU"/>
        </w:rPr>
        <w:t>Уполномоченные обязаны: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  <w:lang w:eastAsia="ru-RU"/>
        </w:rPr>
        <w:t>уведомлять членов товарищества, от которых они избраны,</w:t>
        <w:br/>
        <w:t>о месте, времени и повестке предстоящего общего собрания членов товарищества;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  <w:lang w:eastAsia="ru-RU"/>
        </w:rPr>
        <w:t xml:space="preserve">голосовать по каждому вопросу общего собрания членов товарищества с учётом письменного мнения каждого члена товарищества, избравшего уполномоченного и не принимающего участие в общем собрании членов товарищества; 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  <w:lang w:eastAsia="ru-RU"/>
        </w:rPr>
        <w:t>уведомлять каждого члена товарищества, избравшего уполномоченного и не принимающего участие в общем собрании членов товарищества о результатах проведения общего собрания</w:t>
        <w:br/>
        <w:t xml:space="preserve">в течении </w:t>
      </w:r>
      <w:r>
        <w:rPr>
          <w:rFonts w:cs="PT Astra Serif" w:ascii="PT Astra Serif" w:hAnsi="PT Astra Serif"/>
          <w:sz w:val="30"/>
          <w:szCs w:val="30"/>
          <w:lang w:val="ru-RU" w:eastAsia="ru-RU"/>
        </w:rPr>
        <w:t>7 дней с момента его проведения.»;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</w:rPr>
        <w:t>б) в части 2 слова «присутствующих на общем собрании членов товарищества» заменить словами «голосов, которыми обладают принявшие участие в данном собрании члены товарищества</w:t>
        <w:br/>
        <w:t>(их представители) и (или) уполномоченные»;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</w:rPr>
        <w:t>в) часть 4 после слова «статьи,» дополнить словами «а также</w:t>
        <w:br/>
        <w:t>по вопросу о порядке голосования (тайное или открытое) в случае, указанном в первом предложении части 5 статьи 16 настоящего Федерального закона,» и в ней слова «присутствующих на общем собрании членов товарищества» заменить словами «голосов, которыми обладают принявшие участие в данном собрании члены товарищества</w:t>
        <w:br/>
        <w:t>(их представители) и (или) уполномоченные»;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</w:rPr>
        <w:t>г) часть 18 после слов «Для членов товарищества» дополнить словами «(их представителей и (или) уполномоченных)»;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</w:rPr>
        <w:t>д) в части 19 слова «присутствует более чем пятьдесят процентов членов товарищества или их представителей» заменить словами «если</w:t>
        <w:br/>
        <w:t>в нём приняли участие члены товарищества (их представители) и (или) уполномоченные, обладающие в совокупности более чем пятьюдесятью процентами голосов от общего числа голосов членов товарищества»;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PT Astra Serif" w:ascii="PT Astra Serif" w:hAnsi="PT Astra Serif"/>
          <w:sz w:val="30"/>
          <w:szCs w:val="30"/>
          <w:lang w:eastAsia="ru-RU"/>
        </w:rPr>
        <w:t>е) в части 25 после слов «представителя члена товарищества» дополнить словами «либо уполномоченного».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PT Astra Serif" w:ascii="PT Astra Serif" w:hAnsi="PT Astra Serif"/>
          <w:sz w:val="30"/>
          <w:szCs w:val="30"/>
          <w:lang w:eastAsia="ru-RU"/>
        </w:rPr>
        <w:tab/>
      </w:r>
    </w:p>
    <w:p>
      <w:pPr>
        <w:pStyle w:val="Normal"/>
        <w:spacing w:lineRule="auto" w:line="240" w:before="0" w:after="0"/>
        <w:ind w:firstLine="720"/>
        <w:jc w:val="both"/>
        <w:rPr>
          <w:rFonts w:ascii="PT Astra Serif" w:hAnsi="PT Astra Serif" w:cs="PT Astra Serif"/>
          <w:bCs/>
          <w:sz w:val="30"/>
          <w:szCs w:val="30"/>
          <w:lang w:eastAsia="ru-RU"/>
        </w:rPr>
      </w:pPr>
      <w:r>
        <w:rPr>
          <w:rFonts w:cs="PT Astra Serif" w:ascii="PT Astra Serif" w:hAnsi="PT Astra Serif"/>
          <w:bCs/>
          <w:sz w:val="30"/>
          <w:szCs w:val="30"/>
          <w:lang w:eastAsia="ru-RU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PT Astra Serif" w:hAnsi="PT Astra Serif" w:cs="PT Astra Serif"/>
          <w:bCs/>
          <w:sz w:val="30"/>
          <w:szCs w:val="30"/>
          <w:lang w:eastAsia="ru-RU"/>
        </w:rPr>
      </w:pPr>
      <w:r>
        <w:rPr>
          <w:rFonts w:cs="PT Astra Serif" w:ascii="PT Astra Serif" w:hAnsi="PT Astra Serif"/>
          <w:bCs/>
          <w:sz w:val="30"/>
          <w:szCs w:val="30"/>
          <w:lang w:eastAsia="ru-RU"/>
        </w:rPr>
      </w:r>
    </w:p>
    <w:p>
      <w:pPr>
        <w:pStyle w:val="Normal"/>
        <w:spacing w:lineRule="auto" w:line="240" w:before="0" w:after="0"/>
        <w:ind w:firstLine="720"/>
        <w:rPr>
          <w:rFonts w:ascii="PT Astra Serif" w:hAnsi="PT Astra Serif" w:cs="PT Astra Serif"/>
          <w:sz w:val="30"/>
          <w:szCs w:val="30"/>
        </w:rPr>
      </w:pPr>
      <w:r>
        <w:rPr>
          <w:rFonts w:cs="PT Astra Serif" w:ascii="PT Astra Serif" w:hAnsi="PT Astra Serif"/>
          <w:sz w:val="30"/>
          <w:szCs w:val="30"/>
        </w:rPr>
        <w:t>Президент</w:t>
      </w:r>
    </w:p>
    <w:p>
      <w:pPr>
        <w:pStyle w:val="Normal"/>
        <w:spacing w:lineRule="auto" w:line="360" w:before="0" w:after="0"/>
        <w:ind w:right="5810" w:hanging="0"/>
        <w:rPr/>
      </w:pPr>
      <w:r>
        <w:rPr>
          <w:rFonts w:cs="PT Astra Serif" w:ascii="PT Astra Serif" w:hAnsi="PT Astra Serif"/>
          <w:sz w:val="30"/>
          <w:szCs w:val="30"/>
        </w:rPr>
        <w:t>Российской Федерации</w:t>
      </w:r>
    </w:p>
    <w:sectPr>
      <w:headerReference w:type="default" r:id="rId2"/>
      <w:headerReference w:type="first" r:id="rId3"/>
      <w:type w:val="nextPage"/>
      <w:pgSz w:w="11906" w:h="16838"/>
      <w:pgMar w:left="1701" w:right="567" w:header="600" w:top="1308" w:footer="0" w:bottom="593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  <w:font w:name="PT Sans">
    <w:altName w:val="Arial"/>
    <w:charset w:val="01"/>
    <w:family w:val="roman"/>
    <w:pitch w:val="default"/>
  </w:font>
  <w:font w:name="Arial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spacing w:before="0" w:after="200"/>
      <w:jc w:val="center"/>
      <w:rPr/>
    </w:pPr>
    <w:r>
      <w:rPr>
        <w:rFonts w:cs="Times New Roman" w:ascii="Times New Roman" w:hAnsi="Times New Roman"/>
        <w:sz w:val="28"/>
        <w:szCs w:val="28"/>
      </w:rPr>
      <w:fldChar w:fldCharType="begin"/>
    </w:r>
    <w:r>
      <w:rPr>
        <w:sz w:val="28"/>
        <w:szCs w:val="28"/>
        <w:rFonts w:cs="Times New Roman" w:ascii="Times New Roman" w:hAnsi="Times New Roman"/>
      </w:rPr>
      <w:instrText> PAGE </w:instrText>
    </w:r>
    <w:r>
      <w:rPr>
        <w:sz w:val="28"/>
        <w:szCs w:val="28"/>
        <w:rFonts w:cs="Times New Roman" w:ascii="Times New Roman" w:hAnsi="Times New Roman"/>
      </w:rPr>
      <w:fldChar w:fldCharType="separate"/>
    </w:r>
    <w:r>
      <w:rPr>
        <w:sz w:val="28"/>
        <w:szCs w:val="28"/>
        <w:rFonts w:cs="Times New Roman" w:ascii="Times New Roman" w:hAnsi="Times New Roman"/>
      </w:rPr>
      <w:t>3</w:t>
    </w:r>
    <w:r>
      <w:rPr>
        <w:sz w:val="28"/>
        <w:szCs w:val="28"/>
        <w:rFonts w:cs="Times New Roman" w:ascii="Times New Roman" w:hAnsi="Times New Roman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28" w:type="dxa"/>
      <w:jc w:val="left"/>
      <w:tblInd w:w="-108" w:type="dxa"/>
      <w:tblCellMar>
        <w:top w:w="0" w:type="dxa"/>
        <w:left w:w="108" w:type="dxa"/>
        <w:bottom w:w="0" w:type="dxa"/>
        <w:right w:w="108" w:type="dxa"/>
      </w:tblCellMar>
    </w:tblPr>
    <w:tblGrid>
      <w:gridCol w:w="5152"/>
      <w:gridCol w:w="4475"/>
    </w:tblGrid>
    <w:tr>
      <w:trPr>
        <w:trHeight w:val="2205" w:hRule="atLeast"/>
      </w:trPr>
      <w:tc>
        <w:tcPr>
          <w:tcW w:w="5152" w:type="dxa"/>
          <w:tcBorders/>
          <w:shd w:fill="auto" w:val="clear"/>
        </w:tcPr>
        <w:p>
          <w:pPr>
            <w:pStyle w:val="Normal"/>
            <w:snapToGrid w:val="false"/>
            <w:rPr>
              <w:rFonts w:ascii="PT Astra Serif" w:hAnsi="PT Astra Serif" w:cs="PT Astra Serif"/>
              <w:sz w:val="30"/>
              <w:szCs w:val="30"/>
            </w:rPr>
          </w:pPr>
          <w:r>
            <w:rPr>
              <w:rFonts w:cs="PT Astra Serif" w:ascii="PT Astra Serif" w:hAnsi="PT Astra Serif"/>
              <w:sz w:val="30"/>
              <w:szCs w:val="30"/>
            </w:rPr>
          </w:r>
        </w:p>
        <w:p>
          <w:pPr>
            <w:pStyle w:val="Normal"/>
            <w:spacing w:before="0" w:after="200"/>
            <w:rPr>
              <w:rFonts w:ascii="PT Astra Serif" w:hAnsi="PT Astra Serif" w:cs="PT Astra Serif"/>
              <w:sz w:val="30"/>
              <w:szCs w:val="30"/>
            </w:rPr>
          </w:pPr>
          <w:r>
            <w:rPr>
              <w:rFonts w:cs="PT Astra Serif" w:ascii="PT Astra Serif" w:hAnsi="PT Astra Serif"/>
              <w:sz w:val="30"/>
              <w:szCs w:val="30"/>
            </w:rPr>
          </w:r>
        </w:p>
      </w:tc>
      <w:tc>
        <w:tcPr>
          <w:tcW w:w="4475" w:type="dxa"/>
          <w:tcBorders/>
          <w:shd w:fill="auto" w:val="clear"/>
        </w:tcPr>
        <w:p>
          <w:pPr>
            <w:pStyle w:val="Normal"/>
            <w:snapToGrid w:val="false"/>
            <w:spacing w:lineRule="auto" w:line="240" w:before="0" w:after="0"/>
            <w:ind w:left="213" w:firstLine="3"/>
            <w:jc w:val="center"/>
            <w:rPr>
              <w:rFonts w:ascii="PT Astra Serif" w:hAnsi="PT Astra Serif" w:cs="PT Astra Serif"/>
              <w:sz w:val="30"/>
              <w:szCs w:val="30"/>
            </w:rPr>
          </w:pPr>
          <w:r>
            <w:rPr>
              <w:rFonts w:cs="PT Astra Serif" w:ascii="PT Astra Serif" w:hAnsi="PT Astra Serif"/>
              <w:sz w:val="30"/>
              <w:szCs w:val="30"/>
            </w:rPr>
            <w:t xml:space="preserve">Вносится </w:t>
          </w:r>
        </w:p>
        <w:p>
          <w:pPr>
            <w:pStyle w:val="Normal"/>
            <w:spacing w:lineRule="auto" w:line="240" w:before="0" w:after="0"/>
            <w:ind w:left="213" w:firstLine="3"/>
            <w:jc w:val="center"/>
            <w:rPr>
              <w:rFonts w:ascii="PT Astra Serif" w:hAnsi="PT Astra Serif" w:cs="PT Astra Serif"/>
              <w:sz w:val="30"/>
              <w:szCs w:val="30"/>
            </w:rPr>
          </w:pPr>
          <w:r>
            <w:rPr>
              <w:rFonts w:cs="PT Astra Serif" w:ascii="PT Astra Serif" w:hAnsi="PT Astra Serif"/>
              <w:sz w:val="30"/>
              <w:szCs w:val="30"/>
            </w:rPr>
            <w:t xml:space="preserve">Законодательным Собранием Ульяновской области </w:t>
          </w:r>
        </w:p>
        <w:p>
          <w:pPr>
            <w:pStyle w:val="Normal"/>
            <w:spacing w:lineRule="auto" w:line="240" w:before="0" w:after="0"/>
            <w:rPr>
              <w:rFonts w:ascii="PT Astra Serif" w:hAnsi="PT Astra Serif" w:cs="PT Astra Serif"/>
              <w:sz w:val="30"/>
              <w:szCs w:val="30"/>
            </w:rPr>
          </w:pPr>
          <w:r>
            <w:rPr>
              <w:rFonts w:cs="PT Astra Serif" w:ascii="PT Astra Serif" w:hAnsi="PT Astra Serif"/>
              <w:sz w:val="30"/>
              <w:szCs w:val="30"/>
            </w:rPr>
          </w:r>
        </w:p>
        <w:p>
          <w:pPr>
            <w:pStyle w:val="Normal"/>
            <w:spacing w:lineRule="auto" w:line="240" w:before="0" w:after="0"/>
            <w:rPr>
              <w:rFonts w:ascii="PT Astra Serif" w:hAnsi="PT Astra Serif" w:cs="PT Astra Serif"/>
              <w:sz w:val="30"/>
              <w:szCs w:val="30"/>
            </w:rPr>
          </w:pPr>
          <w:r>
            <w:rPr>
              <w:rFonts w:cs="PT Astra Serif" w:ascii="PT Astra Serif" w:hAnsi="PT Astra Serif"/>
              <w:sz w:val="30"/>
              <w:szCs w:val="30"/>
            </w:rPr>
          </w:r>
        </w:p>
        <w:p>
          <w:pPr>
            <w:pStyle w:val="Normal"/>
            <w:spacing w:lineRule="auto" w:line="240" w:before="0" w:after="0"/>
            <w:jc w:val="right"/>
            <w:rPr>
              <w:rFonts w:ascii="PT Astra Serif" w:hAnsi="PT Astra Serif" w:cs="PT Astra Serif"/>
              <w:sz w:val="30"/>
              <w:szCs w:val="30"/>
            </w:rPr>
          </w:pPr>
          <w:r>
            <w:rPr>
              <w:rFonts w:cs="PT Astra Serif" w:ascii="PT Astra Serif" w:hAnsi="PT Astra Serif"/>
              <w:sz w:val="30"/>
              <w:szCs w:val="30"/>
            </w:rPr>
            <w:t xml:space="preserve">Проект </w:t>
          </w:r>
        </w:p>
      </w:tc>
    </w:tr>
  </w:tbl>
  <w:p>
    <w:pPr>
      <w:pStyle w:val="Normal"/>
      <w:widowControl/>
      <w:suppressAutoHyphens w:val="true"/>
      <w:bidi w:val="0"/>
      <w:spacing w:lineRule="auto" w:line="276" w:before="0" w:after="20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1">
    <w:name w:val="Основной шрифт абзаца1"/>
    <w:qFormat/>
    <w:rPr/>
  </w:style>
  <w:style w:type="character" w:styleId="Style15">
    <w:name w:val="Основной текст с отступом Знак"/>
    <w:qFormat/>
    <w:rPr>
      <w:rFonts w:ascii="Times New Roman" w:hAnsi="Times New Roman" w:eastAsia="Times New Roman" w:cs="Times New Roman"/>
      <w:sz w:val="30"/>
    </w:rPr>
  </w:style>
  <w:style w:type="character" w:styleId="Blk">
    <w:name w:val="blk"/>
    <w:qFormat/>
    <w:rPr/>
  </w:style>
  <w:style w:type="character" w:styleId="Ep">
    <w:name w:val="ep"/>
    <w:qFormat/>
    <w:rPr/>
  </w:style>
  <w:style w:type="character" w:styleId="Style16">
    <w:name w:val="Верхний колонтитул Знак"/>
    <w:qFormat/>
    <w:rPr>
      <w:sz w:val="22"/>
      <w:szCs w:val="22"/>
    </w:rPr>
  </w:style>
  <w:style w:type="character" w:styleId="Style17">
    <w:name w:val="Нижний колонтитул Знак"/>
    <w:qFormat/>
    <w:rPr>
      <w:sz w:val="22"/>
      <w:szCs w:val="22"/>
    </w:rPr>
  </w:style>
  <w:style w:type="character" w:styleId="Style18">
    <w:name w:val="Текст выноски Знак"/>
    <w:qFormat/>
    <w:rPr>
      <w:rFonts w:ascii="Tahoma" w:hAnsi="Tahoma" w:cs="Tahoma"/>
      <w:sz w:val="16"/>
      <w:szCs w:val="16"/>
    </w:rPr>
  </w:style>
  <w:style w:type="character" w:styleId="HTML">
    <w:name w:val="Стандартный HTML Знак"/>
    <w:qFormat/>
    <w:rPr>
      <w:rFonts w:ascii="Courier New" w:hAnsi="Courier New" w:eastAsia="Times New Roman" w:cs="Courier New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Sans;Arial" w:hAnsi="PT Sans;Arial" w:eastAsia="Tahoma" w:cs="Noto Sans Devanagari;Times New Roman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ascii="PT Sans;Arial" w:hAnsi="PT Sans;Arial" w:cs="Noto Sans Devanagari;Times New Roman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4">
    <w:name w:val="Название объекта"/>
    <w:basedOn w:val="Normal"/>
    <w:qFormat/>
    <w:pPr>
      <w:suppressLineNumbers/>
      <w:spacing w:before="120" w:after="120"/>
    </w:pPr>
    <w:rPr>
      <w:rFonts w:ascii="PT Sans;Arial" w:hAnsi="PT Sans;Arial" w:cs="Noto Sans Devanagari;Times New Roman"/>
      <w:i/>
      <w:iCs/>
      <w:sz w:val="24"/>
      <w:szCs w:val="24"/>
    </w:rPr>
  </w:style>
  <w:style w:type="paragraph" w:styleId="11">
    <w:name w:val="Указатель1"/>
    <w:basedOn w:val="Normal"/>
    <w:qFormat/>
    <w:pPr>
      <w:suppressLineNumbers/>
    </w:pPr>
    <w:rPr>
      <w:rFonts w:ascii="PT Sans;Arial" w:hAnsi="PT Sans;Arial" w:cs="Noto Sans Devanagari;Times New Roman"/>
    </w:rPr>
  </w:style>
  <w:style w:type="paragraph" w:styleId="Style25">
    <w:name w:val="Body Text Indent"/>
    <w:basedOn w:val="Normal"/>
    <w:pPr>
      <w:spacing w:lineRule="atLeast" w:line="240" w:before="0" w:after="0"/>
      <w:ind w:left="6180" w:right="0" w:hanging="0"/>
    </w:pPr>
    <w:rPr>
      <w:rFonts w:ascii="Times New Roman" w:hAnsi="Times New Roman" w:eastAsia="Times New Roman" w:cs="Times New Roman"/>
      <w:sz w:val="30"/>
      <w:szCs w:val="20"/>
      <w:lang w:val="ru-RU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>
      <w:lang w:val="ru-RU"/>
    </w:rPr>
  </w:style>
  <w:style w:type="paragraph" w:styleId="Style28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>
      <w:lang w:val="ru-RU"/>
    </w:rPr>
  </w:style>
  <w:style w:type="paragraph" w:styleId="Style29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  <w:lang w:val="ru-RU"/>
    </w:rPr>
  </w:style>
  <w:style w:type="paragraph" w:styleId="HTML1">
    <w:name w:val="Стандартный HTML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val="ru-RU"/>
    </w:rPr>
  </w:style>
  <w:style w:type="paragraph" w:styleId="Style30">
    <w:name w:val="Содержимое таблицы"/>
    <w:basedOn w:val="Normal"/>
    <w:qFormat/>
    <w:pPr>
      <w:suppressLineNumbers/>
    </w:pPr>
    <w:rPr/>
  </w:style>
  <w:style w:type="paragraph" w:styleId="Style31">
    <w:name w:val="Заголовок таблицы"/>
    <w:basedOn w:val="Style3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Normal_x005F_x005F_x005F_x005F_x005F_x005F_x005F_x005F_x005F_x005F_x005F_x005F_x005F_x005F_x005F_x005F_x005F_x005F_x005F_x005F_x005F_x005F_x005F_x005F_x005F_x005F_x0000_</Template>
  <TotalTime>369</TotalTime>
  <Application>LibreOffice/6.3.5.2$Linux_X86_64 LibreOffice_project/30$Build-2</Application>
  <Pages>3</Pages>
  <Words>464</Words>
  <Characters>3240</Characters>
  <CharactersWithSpaces>3685</CharactersWithSpaces>
  <Paragraphs>32</Paragraphs>
  <Company>КонсультантПлюс Версия 4018.00.20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2019-07-23T14:09:00Z</dcterms:created>
  <dc:creator>user</dc:creator>
  <dc:description/>
  <dc:language>ru-RU</dc:language>
  <cp:lastModifiedBy/>
  <cp:lastPrinted>2020-05-19T14:25:36Z</cp:lastPrinted>
  <dcterms:modified xsi:type="dcterms:W3CDTF">2020-05-19T14:28:16Z</dcterms:modified>
  <cp:revision>21</cp:revision>
  <dc:subject/>
  <dc:title>Федеральный закон от 29.07.2017 N 217-ФЗ(ред. от 03.08.2018)"О ведении гражданами садоводства и огородничества для собственных нужд и о внесении изменений в отдельные законодательные акты Российской Федерации"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4018.00.20</vt:lpwstr>
  </property>
</Properties>
</file>